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A8CBCA" w14:textId="77777777" w:rsidR="007D556F" w:rsidRDefault="007D556F" w:rsidP="00C006BA">
      <w:pPr>
        <w:spacing w:line="480" w:lineRule="auto"/>
        <w:rPr>
          <w:rFonts w:ascii="Palatino Linotype" w:hAnsi="Palatino Linotype" w:cs="Times New Roman"/>
          <w:sz w:val="22"/>
          <w:szCs w:val="22"/>
        </w:rPr>
      </w:pPr>
      <w:r w:rsidRPr="00DC5E21">
        <w:rPr>
          <w:rFonts w:ascii="Palatino Linotype" w:hAnsi="Palatino Linotype" w:cs="Verdana"/>
          <w:iCs/>
          <w:sz w:val="22"/>
          <w:szCs w:val="22"/>
        </w:rPr>
        <w:t>This is a pre-copyedited, author-produced manuscript of a chapter accepted for publication in</w:t>
      </w:r>
      <w:r w:rsidRPr="00DC5E21">
        <w:rPr>
          <w:rFonts w:ascii="Palatino Linotype" w:hAnsi="Palatino Linotype" w:cs="Verdana"/>
          <w:sz w:val="22"/>
          <w:szCs w:val="22"/>
        </w:rPr>
        <w:t xml:space="preserve"> the</w:t>
      </w:r>
      <w:r w:rsidRPr="00DC5E21">
        <w:rPr>
          <w:rFonts w:ascii="Palatino Linotype" w:hAnsi="Palatino Linotype" w:cs="Verdana"/>
          <w:i/>
          <w:sz w:val="22"/>
          <w:szCs w:val="22"/>
        </w:rPr>
        <w:t xml:space="preserve"> </w:t>
      </w:r>
      <w:r w:rsidRPr="00DC5E21">
        <w:rPr>
          <w:rFonts w:ascii="Palatino Linotype" w:hAnsi="Palatino Linotype" w:cs="Verdana"/>
          <w:sz w:val="22"/>
          <w:szCs w:val="22"/>
        </w:rPr>
        <w:t>book</w:t>
      </w:r>
      <w:r w:rsidRPr="00DC5E21">
        <w:rPr>
          <w:rFonts w:ascii="Palatino Linotype" w:hAnsi="Palatino Linotype" w:cs="Verdana"/>
          <w:iCs/>
          <w:sz w:val="22"/>
          <w:szCs w:val="22"/>
        </w:rPr>
        <w:t xml:space="preserve"> </w:t>
      </w:r>
      <w:r w:rsidR="00C006BA">
        <w:rPr>
          <w:rFonts w:ascii="Palatino Linotype" w:hAnsi="Palatino Linotype" w:cs="Verdana"/>
          <w:iCs/>
          <w:sz w:val="22"/>
          <w:szCs w:val="22"/>
        </w:rPr>
        <w:t xml:space="preserve">Nick Aikens (ed.), </w:t>
      </w:r>
      <w:r w:rsidR="00C006BA" w:rsidRPr="00C006BA">
        <w:rPr>
          <w:rFonts w:ascii="Palatino Linotype" w:hAnsi="Palatino Linotype" w:cs="Verdana"/>
          <w:i/>
          <w:iCs/>
          <w:sz w:val="22"/>
          <w:szCs w:val="22"/>
        </w:rPr>
        <w:t>Rasheed Araeen: A Retrospective</w:t>
      </w:r>
      <w:r w:rsidR="00C006BA">
        <w:rPr>
          <w:rFonts w:ascii="Palatino Linotype" w:hAnsi="Palatino Linotype" w:cs="Verdana"/>
          <w:iCs/>
          <w:sz w:val="22"/>
          <w:szCs w:val="22"/>
        </w:rPr>
        <w:t xml:space="preserve"> (</w:t>
      </w:r>
      <w:r w:rsidR="00C006BA">
        <w:rPr>
          <w:rFonts w:ascii="Palatino Linotype" w:hAnsi="Palatino Linotype" w:cs="Verdana"/>
          <w:iCs/>
          <w:sz w:val="22"/>
          <w:szCs w:val="22"/>
        </w:rPr>
        <w:t>Zürich</w:t>
      </w:r>
      <w:r w:rsidR="00C006BA">
        <w:rPr>
          <w:rFonts w:ascii="Palatino Linotype" w:hAnsi="Palatino Linotype" w:cs="Verdana"/>
          <w:iCs/>
          <w:sz w:val="22"/>
          <w:szCs w:val="22"/>
        </w:rPr>
        <w:t>: JRP Ringier, 2018).  The definitive version is Dominic Rahtz, ‘</w:t>
      </w:r>
      <w:r w:rsidR="00C006BA">
        <w:rPr>
          <w:rFonts w:ascii="Palatino Linotype" w:hAnsi="Palatino Linotype" w:cs="Times New Roman"/>
          <w:sz w:val="22"/>
          <w:szCs w:val="22"/>
        </w:rPr>
        <w:t>The Play o</w:t>
      </w:r>
      <w:r w:rsidR="00C006BA" w:rsidRPr="004F6162">
        <w:rPr>
          <w:rFonts w:ascii="Palatino Linotype" w:hAnsi="Palatino Linotype" w:cs="Times New Roman"/>
          <w:sz w:val="22"/>
          <w:szCs w:val="22"/>
        </w:rPr>
        <w:t xml:space="preserve">f Structure: Rasheed Araeen’s </w:t>
      </w:r>
      <w:r w:rsidR="00C006BA" w:rsidRPr="004F6162">
        <w:rPr>
          <w:rFonts w:ascii="Palatino Linotype" w:hAnsi="Palatino Linotype" w:cs="Times New Roman"/>
          <w:i/>
          <w:sz w:val="22"/>
          <w:szCs w:val="22"/>
        </w:rPr>
        <w:t>Chakras</w:t>
      </w:r>
      <w:r w:rsidR="00C006BA">
        <w:rPr>
          <w:rFonts w:ascii="Palatino Linotype" w:hAnsi="Palatino Linotype" w:cs="Times New Roman"/>
          <w:sz w:val="22"/>
          <w:szCs w:val="22"/>
        </w:rPr>
        <w:t xml:space="preserve"> a</w:t>
      </w:r>
      <w:r w:rsidR="00C006BA" w:rsidRPr="004F6162">
        <w:rPr>
          <w:rFonts w:ascii="Palatino Linotype" w:hAnsi="Palatino Linotype" w:cs="Times New Roman"/>
          <w:sz w:val="22"/>
          <w:szCs w:val="22"/>
        </w:rPr>
        <w:t>nd Related Works</w:t>
      </w:r>
      <w:r w:rsidR="00C006BA">
        <w:rPr>
          <w:rFonts w:ascii="Palatino Linotype" w:hAnsi="Palatino Linotype" w:cs="Times New Roman"/>
          <w:sz w:val="22"/>
          <w:szCs w:val="22"/>
        </w:rPr>
        <w:t xml:space="preserve">’, in </w:t>
      </w:r>
      <w:r w:rsidR="00C006BA">
        <w:rPr>
          <w:rFonts w:ascii="Palatino Linotype" w:hAnsi="Palatino Linotype" w:cs="Verdana"/>
          <w:iCs/>
          <w:sz w:val="22"/>
          <w:szCs w:val="22"/>
        </w:rPr>
        <w:t xml:space="preserve">Nick Aikens (ed.), </w:t>
      </w:r>
      <w:r w:rsidR="00C006BA" w:rsidRPr="00C006BA">
        <w:rPr>
          <w:rFonts w:ascii="Palatino Linotype" w:hAnsi="Palatino Linotype" w:cs="Verdana"/>
          <w:i/>
          <w:iCs/>
          <w:sz w:val="22"/>
          <w:szCs w:val="22"/>
        </w:rPr>
        <w:t>Rasheed Araeen: A Retrospective</w:t>
      </w:r>
      <w:r w:rsidR="00C006BA">
        <w:rPr>
          <w:rFonts w:ascii="Palatino Linotype" w:hAnsi="Palatino Linotype" w:cs="Verdana"/>
          <w:iCs/>
          <w:sz w:val="22"/>
          <w:szCs w:val="22"/>
        </w:rPr>
        <w:t xml:space="preserve"> (</w:t>
      </w:r>
      <w:r w:rsidR="00C006BA">
        <w:rPr>
          <w:rFonts w:ascii="Palatino Linotype" w:hAnsi="Palatino Linotype" w:cs="Verdana"/>
          <w:iCs/>
          <w:sz w:val="22"/>
          <w:szCs w:val="22"/>
        </w:rPr>
        <w:t xml:space="preserve">Zürich: </w:t>
      </w:r>
      <w:r w:rsidR="00C006BA">
        <w:rPr>
          <w:rFonts w:ascii="Palatino Linotype" w:hAnsi="Palatino Linotype" w:cs="Verdana"/>
          <w:iCs/>
          <w:sz w:val="22"/>
          <w:szCs w:val="22"/>
        </w:rPr>
        <w:t>JRP Ringier, 2018)</w:t>
      </w:r>
      <w:r w:rsidR="00C006BA">
        <w:rPr>
          <w:rFonts w:ascii="Palatino Linotype" w:hAnsi="Palatino Linotype" w:cs="Verdana"/>
          <w:iCs/>
          <w:sz w:val="22"/>
          <w:szCs w:val="22"/>
        </w:rPr>
        <w:t>.</w:t>
      </w:r>
      <w:bookmarkStart w:id="0" w:name="_GoBack"/>
      <w:bookmarkEnd w:id="0"/>
      <w:r>
        <w:rPr>
          <w:rFonts w:ascii="Palatino Linotype" w:hAnsi="Palatino Linotype" w:cs="Times New Roman"/>
          <w:sz w:val="22"/>
          <w:szCs w:val="22"/>
        </w:rPr>
        <w:br w:type="page"/>
      </w:r>
    </w:p>
    <w:p w14:paraId="229EE6B1" w14:textId="77777777" w:rsidR="007D556F" w:rsidRDefault="007D556F" w:rsidP="007D556F">
      <w:pPr>
        <w:spacing w:line="480" w:lineRule="auto"/>
        <w:rPr>
          <w:rFonts w:ascii="Palatino Linotype" w:eastAsia="Times New Roman" w:hAnsi="Palatino Linotype"/>
          <w:color w:val="000000"/>
          <w:sz w:val="22"/>
          <w:szCs w:val="22"/>
        </w:rPr>
      </w:pPr>
    </w:p>
    <w:p w14:paraId="4504D3C4" w14:textId="77777777" w:rsidR="007D556F" w:rsidRDefault="007D556F" w:rsidP="007D556F">
      <w:pPr>
        <w:spacing w:line="480" w:lineRule="auto"/>
        <w:rPr>
          <w:rFonts w:ascii="Palatino Linotype" w:eastAsia="Times New Roman" w:hAnsi="Palatino Linotype"/>
          <w:color w:val="000000"/>
          <w:sz w:val="22"/>
          <w:szCs w:val="22"/>
        </w:rPr>
      </w:pPr>
    </w:p>
    <w:p w14:paraId="653CDA45" w14:textId="77777777" w:rsidR="007D556F" w:rsidRPr="00DC5E21" w:rsidRDefault="007D556F" w:rsidP="007D556F">
      <w:pPr>
        <w:spacing w:line="480" w:lineRule="auto"/>
        <w:rPr>
          <w:rFonts w:ascii="Palatino Linotype" w:eastAsia="Times New Roman" w:hAnsi="Palatino Linotype"/>
          <w:color w:val="000000"/>
          <w:sz w:val="22"/>
          <w:szCs w:val="22"/>
        </w:rPr>
      </w:pPr>
      <w:r w:rsidRPr="00DC5E21">
        <w:rPr>
          <w:rFonts w:ascii="Palatino Linotype" w:eastAsia="Times New Roman" w:hAnsi="Palatino Linotype"/>
          <w:color w:val="000000"/>
          <w:sz w:val="22"/>
          <w:szCs w:val="22"/>
        </w:rPr>
        <w:t>©  Dominic Rahtz</w:t>
      </w:r>
    </w:p>
    <w:p w14:paraId="6A8E81A0" w14:textId="77777777" w:rsidR="004F6162" w:rsidRDefault="004F6162" w:rsidP="004F6162">
      <w:pPr>
        <w:spacing w:line="480" w:lineRule="auto"/>
        <w:rPr>
          <w:rFonts w:ascii="Palatino Linotype" w:hAnsi="Palatino Linotype" w:cs="Times New Roman"/>
          <w:sz w:val="22"/>
          <w:szCs w:val="22"/>
        </w:rPr>
      </w:pPr>
    </w:p>
    <w:p w14:paraId="780FBAED" w14:textId="77777777" w:rsidR="004F6162" w:rsidRDefault="004F6162" w:rsidP="004F6162">
      <w:pPr>
        <w:spacing w:line="480" w:lineRule="auto"/>
        <w:rPr>
          <w:rFonts w:ascii="Palatino Linotype" w:hAnsi="Palatino Linotype" w:cs="Times New Roman"/>
          <w:sz w:val="22"/>
          <w:szCs w:val="22"/>
        </w:rPr>
      </w:pPr>
    </w:p>
    <w:p w14:paraId="0E831435" w14:textId="77777777" w:rsidR="004F6162" w:rsidRDefault="004F6162" w:rsidP="004F6162">
      <w:pPr>
        <w:spacing w:line="480" w:lineRule="auto"/>
        <w:rPr>
          <w:rFonts w:ascii="Palatino Linotype" w:hAnsi="Palatino Linotype" w:cs="Times New Roman"/>
          <w:sz w:val="22"/>
          <w:szCs w:val="22"/>
        </w:rPr>
      </w:pPr>
    </w:p>
    <w:p w14:paraId="55AADD57" w14:textId="77777777" w:rsidR="004F6162" w:rsidRPr="004F6162" w:rsidRDefault="004F6162" w:rsidP="004F6162">
      <w:pPr>
        <w:spacing w:line="480" w:lineRule="auto"/>
        <w:rPr>
          <w:rFonts w:ascii="Palatino Linotype" w:hAnsi="Palatino Linotype" w:cs="Times New Roman"/>
          <w:sz w:val="22"/>
          <w:szCs w:val="22"/>
        </w:rPr>
      </w:pPr>
      <w:r w:rsidRPr="004F6162">
        <w:rPr>
          <w:rFonts w:ascii="Palatino Linotype" w:hAnsi="Palatino Linotype" w:cs="Times New Roman"/>
          <w:sz w:val="22"/>
          <w:szCs w:val="22"/>
        </w:rPr>
        <w:t xml:space="preserve">THE PLAY OF STRUCTURE: RASHEED ARAEEN’S </w:t>
      </w:r>
      <w:r w:rsidRPr="004F6162">
        <w:rPr>
          <w:rFonts w:ascii="Palatino Linotype" w:hAnsi="Palatino Linotype" w:cs="Times New Roman"/>
          <w:i/>
          <w:sz w:val="22"/>
          <w:szCs w:val="22"/>
        </w:rPr>
        <w:t>CHAKRAS</w:t>
      </w:r>
      <w:r w:rsidRPr="004F6162">
        <w:rPr>
          <w:rFonts w:ascii="Palatino Linotype" w:hAnsi="Palatino Linotype" w:cs="Times New Roman"/>
          <w:sz w:val="22"/>
          <w:szCs w:val="22"/>
        </w:rPr>
        <w:t xml:space="preserve"> AND RELATED WORKS</w:t>
      </w:r>
    </w:p>
    <w:p w14:paraId="16FA3344" w14:textId="77777777" w:rsidR="004F6162" w:rsidRDefault="004F6162" w:rsidP="004F6162">
      <w:pPr>
        <w:spacing w:line="480" w:lineRule="auto"/>
        <w:rPr>
          <w:rFonts w:ascii="Palatino Linotype" w:hAnsi="Palatino Linotype" w:cs="Times New Roman"/>
          <w:sz w:val="22"/>
          <w:szCs w:val="22"/>
        </w:rPr>
      </w:pPr>
    </w:p>
    <w:p w14:paraId="178D7752" w14:textId="77777777" w:rsidR="004F6162" w:rsidRPr="004F6162" w:rsidRDefault="004F6162" w:rsidP="004F6162">
      <w:pPr>
        <w:spacing w:line="480" w:lineRule="auto"/>
        <w:rPr>
          <w:rFonts w:ascii="Palatino Linotype" w:hAnsi="Palatino Linotype" w:cs="Times New Roman"/>
          <w:sz w:val="22"/>
          <w:szCs w:val="22"/>
        </w:rPr>
      </w:pPr>
    </w:p>
    <w:p w14:paraId="2927406F" w14:textId="77777777" w:rsidR="004F6162" w:rsidRPr="004F6162" w:rsidRDefault="004F6162" w:rsidP="004F6162">
      <w:pPr>
        <w:spacing w:line="480" w:lineRule="auto"/>
        <w:ind w:firstLine="720"/>
        <w:rPr>
          <w:rFonts w:ascii="Palatino Linotype" w:hAnsi="Palatino Linotype" w:cs="Times New Roman"/>
          <w:sz w:val="22"/>
          <w:szCs w:val="22"/>
        </w:rPr>
      </w:pPr>
      <w:r w:rsidRPr="004F6162">
        <w:rPr>
          <w:rFonts w:ascii="Palatino Linotype" w:hAnsi="Palatino Linotype" w:cs="Times New Roman"/>
          <w:sz w:val="22"/>
          <w:szCs w:val="22"/>
        </w:rPr>
        <w:t>In February 1970 Rasheed Araeen released sixteen plywood discs coated in red fluorescent paint into the water off St. Katharine Docks in London.</w:t>
      </w:r>
      <w:r>
        <w:rPr>
          <w:rFonts w:ascii="Palatino Linotype" w:hAnsi="Palatino Linotype" w:cs="Times New Roman"/>
          <w:sz w:val="22"/>
          <w:szCs w:val="22"/>
        </w:rPr>
        <w:t xml:space="preserve"> </w:t>
      </w:r>
      <w:r w:rsidRPr="004F6162">
        <w:rPr>
          <w:rFonts w:ascii="Palatino Linotype" w:hAnsi="Palatino Linotype" w:cs="Times New Roman"/>
          <w:sz w:val="22"/>
          <w:szCs w:val="22"/>
        </w:rPr>
        <w:t xml:space="preserve"> </w:t>
      </w:r>
      <w:r w:rsidRPr="004F6162">
        <w:rPr>
          <w:rFonts w:ascii="Palatino Linotype" w:hAnsi="Palatino Linotype" w:cs="Times New Roman"/>
          <w:i/>
          <w:sz w:val="22"/>
          <w:szCs w:val="22"/>
        </w:rPr>
        <w:t>Chakras</w:t>
      </w:r>
      <w:r w:rsidRPr="004F6162">
        <w:rPr>
          <w:rFonts w:ascii="Palatino Linotype" w:hAnsi="Palatino Linotype" w:cs="Times New Roman"/>
          <w:sz w:val="22"/>
          <w:szCs w:val="22"/>
        </w:rPr>
        <w:t xml:space="preserve"> (1969–1970) would be the first work in a series to continue throughout 1970 involving discs launched into water: </w:t>
      </w:r>
      <w:r w:rsidRPr="004F6162">
        <w:rPr>
          <w:rFonts w:ascii="Palatino Linotype" w:hAnsi="Palatino Linotype" w:cs="Times New Roman"/>
          <w:i/>
          <w:sz w:val="22"/>
          <w:szCs w:val="22"/>
        </w:rPr>
        <w:t>White Discs</w:t>
      </w:r>
      <w:r w:rsidRPr="004F6162">
        <w:rPr>
          <w:rFonts w:ascii="Palatino Linotype" w:hAnsi="Palatino Linotype" w:cs="Times New Roman"/>
          <w:sz w:val="22"/>
          <w:szCs w:val="22"/>
        </w:rPr>
        <w:t xml:space="preserve"> and </w:t>
      </w:r>
      <w:r w:rsidRPr="004F6162">
        <w:rPr>
          <w:rFonts w:ascii="Palatino Linotype" w:hAnsi="Palatino Linotype" w:cs="Times New Roman"/>
          <w:i/>
          <w:sz w:val="22"/>
          <w:szCs w:val="22"/>
        </w:rPr>
        <w:t>Canalevent</w:t>
      </w:r>
      <w:r w:rsidRPr="004F6162">
        <w:rPr>
          <w:rFonts w:ascii="Palatino Linotype" w:hAnsi="Palatino Linotype" w:cs="Times New Roman"/>
          <w:sz w:val="22"/>
          <w:szCs w:val="22"/>
        </w:rPr>
        <w:t xml:space="preserve"> both in London, and </w:t>
      </w:r>
      <w:r w:rsidRPr="004F6162">
        <w:rPr>
          <w:rFonts w:ascii="Palatino Linotype" w:hAnsi="Palatino Linotype" w:cs="Times New Roman"/>
          <w:i/>
          <w:sz w:val="22"/>
          <w:szCs w:val="22"/>
        </w:rPr>
        <w:t>Discs in River Seine</w:t>
      </w:r>
      <w:r w:rsidRPr="004F6162">
        <w:rPr>
          <w:rFonts w:ascii="Palatino Linotype" w:hAnsi="Palatino Linotype" w:cs="Times New Roman"/>
          <w:sz w:val="22"/>
          <w:szCs w:val="22"/>
        </w:rPr>
        <w:t xml:space="preserve"> in Paris.</w:t>
      </w:r>
      <w:r w:rsidRPr="004F6162">
        <w:rPr>
          <w:rStyle w:val="FootnoteReference"/>
          <w:rFonts w:ascii="Palatino Linotype" w:hAnsi="Palatino Linotype" w:cs="Times New Roman"/>
          <w:sz w:val="22"/>
          <w:szCs w:val="22"/>
        </w:rPr>
        <w:footnoteReference w:id="1"/>
      </w:r>
      <w:r w:rsidRPr="004F6162">
        <w:rPr>
          <w:rFonts w:ascii="Palatino Linotype" w:hAnsi="Palatino Linotype" w:cs="Times New Roman"/>
          <w:sz w:val="22"/>
          <w:szCs w:val="22"/>
        </w:rPr>
        <w:t xml:space="preserve"> </w:t>
      </w:r>
      <w:r>
        <w:rPr>
          <w:rFonts w:ascii="Palatino Linotype" w:hAnsi="Palatino Linotype" w:cs="Times New Roman"/>
          <w:sz w:val="22"/>
          <w:szCs w:val="22"/>
        </w:rPr>
        <w:t xml:space="preserve"> A photograph</w:t>
      </w:r>
      <w:r w:rsidRPr="004F6162">
        <w:rPr>
          <w:rFonts w:ascii="Palatino Linotype" w:hAnsi="Palatino Linotype" w:cs="Times New Roman"/>
          <w:sz w:val="22"/>
          <w:szCs w:val="22"/>
        </w:rPr>
        <w:t xml:space="preserve"> from December 1969 shows Araeen in his studio, one of the original artist-run S.P.A.C.E. studios that occupied a disused warehouse at St. Katharine Docks; the discs lean against the wall alongside other structural works from the same period, an idiom in which Araeen had been working since the mid-1960s.</w:t>
      </w:r>
      <w:r w:rsidRPr="004F6162">
        <w:rPr>
          <w:rStyle w:val="FootnoteReference"/>
          <w:rFonts w:ascii="Palatino Linotype" w:hAnsi="Palatino Linotype" w:cs="Times New Roman"/>
          <w:sz w:val="22"/>
          <w:szCs w:val="22"/>
        </w:rPr>
        <w:footnoteReference w:id="2"/>
      </w:r>
      <w:r w:rsidRPr="004F6162">
        <w:rPr>
          <w:rFonts w:ascii="Palatino Linotype" w:hAnsi="Palatino Linotype" w:cs="Times New Roman"/>
          <w:sz w:val="22"/>
          <w:szCs w:val="22"/>
        </w:rPr>
        <w:t xml:space="preserve"> </w:t>
      </w:r>
      <w:r>
        <w:rPr>
          <w:rFonts w:ascii="Palatino Linotype" w:hAnsi="Palatino Linotype" w:cs="Times New Roman"/>
          <w:sz w:val="22"/>
          <w:szCs w:val="22"/>
        </w:rPr>
        <w:t xml:space="preserve"> </w:t>
      </w:r>
      <w:r w:rsidRPr="004F6162">
        <w:rPr>
          <w:rFonts w:ascii="Palatino Linotype" w:hAnsi="Palatino Linotype" w:cs="Times New Roman"/>
          <w:sz w:val="22"/>
          <w:szCs w:val="22"/>
        </w:rPr>
        <w:t xml:space="preserve">The circular forms of </w:t>
      </w:r>
      <w:r w:rsidRPr="004F6162">
        <w:rPr>
          <w:rFonts w:ascii="Palatino Linotype" w:hAnsi="Palatino Linotype" w:cs="Times New Roman"/>
          <w:i/>
          <w:sz w:val="22"/>
          <w:szCs w:val="22"/>
        </w:rPr>
        <w:t>Chakras</w:t>
      </w:r>
      <w:r w:rsidRPr="004F6162">
        <w:rPr>
          <w:rFonts w:ascii="Palatino Linotype" w:hAnsi="Palatino Linotype" w:cs="Times New Roman"/>
          <w:sz w:val="22"/>
          <w:szCs w:val="22"/>
        </w:rPr>
        <w:t>, as single flat elements, do not have the same complexity of interior relations as the structural works, and, formally, seem to represent a change of direction. A series of photographs show Araeen, with participants from the other studios observing the discs from the edge of the dock as they float east, eventually becoming mixed in with various drift material in the corner of the eastern dock.</w:t>
      </w:r>
    </w:p>
    <w:p w14:paraId="61DFAC47" w14:textId="77777777" w:rsidR="004F6162" w:rsidRPr="004F6162" w:rsidRDefault="004F6162" w:rsidP="004F6162">
      <w:pPr>
        <w:spacing w:line="480" w:lineRule="auto"/>
        <w:ind w:firstLine="720"/>
        <w:rPr>
          <w:rFonts w:ascii="Palatino Linotype" w:hAnsi="Palatino Linotype" w:cs="Times New Roman"/>
          <w:sz w:val="22"/>
          <w:szCs w:val="22"/>
        </w:rPr>
      </w:pPr>
      <w:r w:rsidRPr="004F6162">
        <w:rPr>
          <w:rFonts w:ascii="Palatino Linotype" w:hAnsi="Palatino Linotype" w:cs="Times New Roman"/>
          <w:sz w:val="22"/>
          <w:szCs w:val="22"/>
        </w:rPr>
        <w:t xml:space="preserve">The play of the work is not confined to a predetermined structure: it is open to the contingent determinations of its environment, the movement of water and wind. </w:t>
      </w:r>
      <w:r>
        <w:rPr>
          <w:rFonts w:ascii="Palatino Linotype" w:hAnsi="Palatino Linotype" w:cs="Times New Roman"/>
          <w:sz w:val="22"/>
          <w:szCs w:val="22"/>
        </w:rPr>
        <w:t xml:space="preserve"> </w:t>
      </w:r>
      <w:r w:rsidRPr="004F6162">
        <w:rPr>
          <w:rFonts w:ascii="Palatino Linotype" w:hAnsi="Palatino Linotype" w:cs="Times New Roman"/>
          <w:sz w:val="22"/>
          <w:szCs w:val="22"/>
        </w:rPr>
        <w:t xml:space="preserve">The lack of interior formal relations diverts attention outwards to relations between the work and what is around it. </w:t>
      </w:r>
      <w:r>
        <w:rPr>
          <w:rFonts w:ascii="Palatino Linotype" w:hAnsi="Palatino Linotype" w:cs="Times New Roman"/>
          <w:sz w:val="22"/>
          <w:szCs w:val="22"/>
        </w:rPr>
        <w:t xml:space="preserve"> </w:t>
      </w:r>
      <w:r w:rsidRPr="004F6162">
        <w:rPr>
          <w:rFonts w:ascii="Palatino Linotype" w:hAnsi="Palatino Linotype" w:cs="Times New Roman"/>
          <w:sz w:val="22"/>
          <w:szCs w:val="22"/>
        </w:rPr>
        <w:t xml:space="preserve">The way in which its form produces its relationship to its environment finds similarity with Daniel Buren’s </w:t>
      </w:r>
      <w:r w:rsidRPr="004F6162">
        <w:rPr>
          <w:rFonts w:ascii="Palatino Linotype" w:hAnsi="Palatino Linotype" w:cs="Times New Roman"/>
          <w:i/>
          <w:sz w:val="22"/>
          <w:szCs w:val="22"/>
        </w:rPr>
        <w:t>Affichages sauvages</w:t>
      </w:r>
      <w:r w:rsidRPr="004F6162">
        <w:rPr>
          <w:rFonts w:ascii="Palatino Linotype" w:hAnsi="Palatino Linotype" w:cs="Times New Roman"/>
          <w:sz w:val="22"/>
          <w:szCs w:val="22"/>
        </w:rPr>
        <w:t xml:space="preserve"> from the same period, where Buren pasted up coloured striped paper of varying dimensions on advertisement hoardings or walls in Paris and other cities. </w:t>
      </w:r>
      <w:r>
        <w:rPr>
          <w:rFonts w:ascii="Palatino Linotype" w:hAnsi="Palatino Linotype" w:cs="Times New Roman"/>
          <w:sz w:val="22"/>
          <w:szCs w:val="22"/>
        </w:rPr>
        <w:t xml:space="preserve"> </w:t>
      </w:r>
      <w:r w:rsidRPr="004F6162">
        <w:rPr>
          <w:rFonts w:ascii="Palatino Linotype" w:hAnsi="Palatino Linotype" w:cs="Times New Roman"/>
          <w:sz w:val="22"/>
          <w:szCs w:val="22"/>
        </w:rPr>
        <w:t xml:space="preserve">Each circular element of </w:t>
      </w:r>
      <w:r w:rsidRPr="004F6162">
        <w:rPr>
          <w:rFonts w:ascii="Palatino Linotype" w:hAnsi="Palatino Linotype" w:cs="Times New Roman"/>
          <w:i/>
          <w:sz w:val="22"/>
          <w:szCs w:val="22"/>
        </w:rPr>
        <w:t>Chakras</w:t>
      </w:r>
      <w:r w:rsidRPr="004F6162">
        <w:rPr>
          <w:rFonts w:ascii="Palatino Linotype" w:hAnsi="Palatino Linotype" w:cs="Times New Roman"/>
          <w:sz w:val="22"/>
          <w:szCs w:val="22"/>
        </w:rPr>
        <w:t xml:space="preserve"> has the same absence of interior composition as the repetition of stripes, producing a kind of ‘zero degree’ of form that acted as the condition for the work’s capacity to establish relations with its exterior environment. </w:t>
      </w:r>
      <w:r>
        <w:rPr>
          <w:rFonts w:ascii="Palatino Linotype" w:hAnsi="Palatino Linotype" w:cs="Times New Roman"/>
          <w:sz w:val="22"/>
          <w:szCs w:val="22"/>
        </w:rPr>
        <w:t xml:space="preserve"> </w:t>
      </w:r>
      <w:r w:rsidRPr="004F6162">
        <w:rPr>
          <w:rFonts w:ascii="Palatino Linotype" w:hAnsi="Palatino Linotype" w:cs="Times New Roman"/>
          <w:sz w:val="22"/>
          <w:szCs w:val="22"/>
        </w:rPr>
        <w:t xml:space="preserve">In connection with a later realization of the work in 1974, Araeen writes: ‘It is essential that the same size and colour is used to eliminate the RELATIONS which exist between the elements or objects owing to their difference in size and colour.’ </w:t>
      </w:r>
      <w:r>
        <w:rPr>
          <w:rFonts w:ascii="Palatino Linotype" w:hAnsi="Palatino Linotype" w:cs="Times New Roman"/>
          <w:sz w:val="22"/>
          <w:szCs w:val="22"/>
        </w:rPr>
        <w:t xml:space="preserve"> </w:t>
      </w:r>
      <w:r w:rsidRPr="004F6162">
        <w:rPr>
          <w:rFonts w:ascii="Palatino Linotype" w:hAnsi="Palatino Linotype" w:cs="Times New Roman"/>
          <w:sz w:val="22"/>
          <w:szCs w:val="22"/>
        </w:rPr>
        <w:t>This elimination of interior formal relations allows for an awareness of the ‘RELATIONS which exist between equal elements/objects in time and space and their relationship with environment’.</w:t>
      </w:r>
      <w:r w:rsidRPr="004F6162">
        <w:rPr>
          <w:rStyle w:val="FootnoteReference"/>
          <w:rFonts w:ascii="Palatino Linotype" w:hAnsi="Palatino Linotype" w:cs="Times New Roman"/>
          <w:sz w:val="22"/>
          <w:szCs w:val="22"/>
        </w:rPr>
        <w:footnoteReference w:id="3"/>
      </w:r>
      <w:r w:rsidRPr="004F6162">
        <w:rPr>
          <w:rFonts w:ascii="Palatino Linotype" w:hAnsi="Palatino Linotype" w:cs="Times New Roman"/>
          <w:sz w:val="22"/>
          <w:szCs w:val="22"/>
        </w:rPr>
        <w:t xml:space="preserve"> </w:t>
      </w:r>
      <w:r>
        <w:rPr>
          <w:rFonts w:ascii="Palatino Linotype" w:hAnsi="Palatino Linotype" w:cs="Times New Roman"/>
          <w:sz w:val="22"/>
          <w:szCs w:val="22"/>
        </w:rPr>
        <w:t xml:space="preserve"> </w:t>
      </w:r>
      <w:r w:rsidRPr="004F6162">
        <w:rPr>
          <w:rFonts w:ascii="Palatino Linotype" w:hAnsi="Palatino Linotype" w:cs="Times New Roman"/>
          <w:sz w:val="22"/>
          <w:szCs w:val="22"/>
        </w:rPr>
        <w:t xml:space="preserve">His statement can be compared to Buren’s analysis of his own work in his 1969 text ‘Beware’, where he claims the ‘formal neutrality’ of the work’s interiority gives it </w:t>
      </w:r>
      <w:r w:rsidRPr="004F6162">
        <w:rPr>
          <w:rFonts w:ascii="Palatino Linotype" w:eastAsia="Times New Roman" w:hAnsi="Palatino Linotype" w:cs="Times New Roman"/>
          <w:color w:val="000000"/>
          <w:sz w:val="22"/>
          <w:szCs w:val="22"/>
        </w:rPr>
        <w:t>an ‘</w:t>
      </w:r>
      <w:r w:rsidRPr="004F6162">
        <w:rPr>
          <w:rFonts w:ascii="Palatino Linotype" w:eastAsia="Times New Roman" w:hAnsi="Palatino Linotype" w:cs="Times New Roman"/>
          <w:i/>
          <w:color w:val="000000"/>
          <w:sz w:val="22"/>
          <w:szCs w:val="22"/>
        </w:rPr>
        <w:t>indicative</w:t>
      </w:r>
      <w:r w:rsidRPr="004F6162">
        <w:rPr>
          <w:rFonts w:ascii="Palatino Linotype" w:eastAsia="Times New Roman" w:hAnsi="Palatino Linotype" w:cs="Times New Roman"/>
          <w:color w:val="000000"/>
          <w:sz w:val="22"/>
          <w:szCs w:val="22"/>
        </w:rPr>
        <w:t>’ or ‘</w:t>
      </w:r>
      <w:r w:rsidRPr="004F6162">
        <w:rPr>
          <w:rFonts w:ascii="Palatino Linotype" w:eastAsia="Times New Roman" w:hAnsi="Palatino Linotype" w:cs="Times New Roman"/>
          <w:i/>
          <w:color w:val="000000"/>
          <w:sz w:val="22"/>
          <w:szCs w:val="22"/>
        </w:rPr>
        <w:t>critical</w:t>
      </w:r>
      <w:r w:rsidRPr="004F6162">
        <w:rPr>
          <w:rFonts w:ascii="Palatino Linotype" w:eastAsia="Times New Roman" w:hAnsi="Palatino Linotype" w:cs="Times New Roman"/>
          <w:color w:val="000000"/>
          <w:sz w:val="22"/>
          <w:szCs w:val="22"/>
        </w:rPr>
        <w:t>’ character with respect to its exteriority.</w:t>
      </w:r>
      <w:r w:rsidRPr="004F6162">
        <w:rPr>
          <w:rStyle w:val="FootnoteReference"/>
          <w:rFonts w:ascii="Palatino Linotype" w:hAnsi="Palatino Linotype" w:cs="Times New Roman"/>
          <w:sz w:val="22"/>
          <w:szCs w:val="22"/>
        </w:rPr>
        <w:footnoteReference w:id="4"/>
      </w:r>
      <w:r w:rsidRPr="004F6162">
        <w:rPr>
          <w:rFonts w:ascii="Palatino Linotype" w:hAnsi="Palatino Linotype" w:cs="Times New Roman"/>
          <w:sz w:val="22"/>
          <w:szCs w:val="22"/>
        </w:rPr>
        <w:t xml:space="preserve"> </w:t>
      </w:r>
      <w:r>
        <w:rPr>
          <w:rFonts w:ascii="Palatino Linotype" w:hAnsi="Palatino Linotype" w:cs="Times New Roman"/>
          <w:sz w:val="22"/>
          <w:szCs w:val="22"/>
        </w:rPr>
        <w:t xml:space="preserve"> </w:t>
      </w:r>
      <w:r w:rsidRPr="004F6162">
        <w:rPr>
          <w:rFonts w:ascii="Palatino Linotype" w:hAnsi="Palatino Linotype" w:cs="Times New Roman"/>
          <w:sz w:val="22"/>
          <w:szCs w:val="22"/>
        </w:rPr>
        <w:t xml:space="preserve">And, like Buren’s work, </w:t>
      </w:r>
      <w:r w:rsidRPr="004F6162">
        <w:rPr>
          <w:rFonts w:ascii="Palatino Linotype" w:hAnsi="Palatino Linotype" w:cs="Times New Roman"/>
          <w:i/>
          <w:sz w:val="22"/>
          <w:szCs w:val="22"/>
        </w:rPr>
        <w:t>Chakras</w:t>
      </w:r>
      <w:r w:rsidRPr="004F6162">
        <w:rPr>
          <w:rFonts w:ascii="Palatino Linotype" w:hAnsi="Palatino Linotype" w:cs="Times New Roman"/>
          <w:sz w:val="22"/>
          <w:szCs w:val="22"/>
        </w:rPr>
        <w:t xml:space="preserve"> is photogenic. </w:t>
      </w:r>
      <w:r>
        <w:rPr>
          <w:rFonts w:ascii="Palatino Linotype" w:hAnsi="Palatino Linotype" w:cs="Times New Roman"/>
          <w:sz w:val="22"/>
          <w:szCs w:val="22"/>
        </w:rPr>
        <w:t xml:space="preserve"> </w:t>
      </w:r>
      <w:r w:rsidRPr="004F6162">
        <w:rPr>
          <w:rFonts w:ascii="Palatino Linotype" w:hAnsi="Palatino Linotype" w:cs="Times New Roman"/>
          <w:sz w:val="22"/>
          <w:szCs w:val="22"/>
        </w:rPr>
        <w:t xml:space="preserve">The sense of its visual separateness from its environment – while being immersed in it – is necessary for its identity as art. The red colour is picked up so strongly by the emulsion of the slide film used to document the event that, against the greyness of the surrounding docks and buildings, the discs look as if they are painted onto the film itself. </w:t>
      </w:r>
      <w:r>
        <w:rPr>
          <w:rFonts w:ascii="Palatino Linotype" w:hAnsi="Palatino Linotype" w:cs="Times New Roman"/>
          <w:sz w:val="22"/>
          <w:szCs w:val="22"/>
        </w:rPr>
        <w:t xml:space="preserve"> </w:t>
      </w:r>
      <w:r w:rsidRPr="004F6162">
        <w:rPr>
          <w:rFonts w:ascii="Palatino Linotype" w:hAnsi="Palatino Linotype" w:cs="Times New Roman"/>
          <w:sz w:val="22"/>
          <w:szCs w:val="22"/>
        </w:rPr>
        <w:t xml:space="preserve">The painterly effect may be supplementary to the event itself, as it is an attribute of its medium of documentation. </w:t>
      </w:r>
      <w:r>
        <w:rPr>
          <w:rFonts w:ascii="Palatino Linotype" w:hAnsi="Palatino Linotype" w:cs="Times New Roman"/>
          <w:sz w:val="22"/>
          <w:szCs w:val="22"/>
        </w:rPr>
        <w:t xml:space="preserve"> </w:t>
      </w:r>
      <w:r w:rsidRPr="004F6162">
        <w:rPr>
          <w:rFonts w:ascii="Palatino Linotype" w:hAnsi="Palatino Linotype" w:cs="Times New Roman"/>
          <w:sz w:val="22"/>
          <w:szCs w:val="22"/>
        </w:rPr>
        <w:t xml:space="preserve">Nonetheless, since the original work, like Buren’s </w:t>
      </w:r>
      <w:r w:rsidRPr="004F6162">
        <w:rPr>
          <w:rFonts w:ascii="Palatino Linotype" w:hAnsi="Palatino Linotype" w:cs="Times New Roman"/>
          <w:i/>
          <w:sz w:val="22"/>
          <w:szCs w:val="22"/>
        </w:rPr>
        <w:t>Affichages sauvages</w:t>
      </w:r>
      <w:r w:rsidRPr="004F6162">
        <w:rPr>
          <w:rFonts w:ascii="Palatino Linotype" w:hAnsi="Palatino Linotype" w:cs="Times New Roman"/>
          <w:sz w:val="22"/>
          <w:szCs w:val="22"/>
        </w:rPr>
        <w:t>, and indeed many process works of the late 1960s and early 1970s, is no longer extant, the photographs inevitably stand in for and mediate its continuing existence.</w:t>
      </w:r>
    </w:p>
    <w:p w14:paraId="5CE10458" w14:textId="77777777" w:rsidR="004F6162" w:rsidRPr="004F6162" w:rsidRDefault="004F6162" w:rsidP="004F6162">
      <w:pPr>
        <w:spacing w:line="480" w:lineRule="auto"/>
        <w:ind w:firstLine="720"/>
        <w:rPr>
          <w:rFonts w:ascii="Palatino Linotype" w:hAnsi="Palatino Linotype" w:cs="Times New Roman"/>
          <w:sz w:val="22"/>
          <w:szCs w:val="22"/>
        </w:rPr>
      </w:pPr>
      <w:r w:rsidRPr="004F6162">
        <w:rPr>
          <w:rFonts w:ascii="Palatino Linotype" w:hAnsi="Palatino Linotype" w:cs="Times New Roman"/>
          <w:sz w:val="22"/>
          <w:szCs w:val="22"/>
        </w:rPr>
        <w:t xml:space="preserve">The absence of interior relations or composition within each element mean that </w:t>
      </w:r>
      <w:r w:rsidRPr="004F6162">
        <w:rPr>
          <w:rFonts w:ascii="Palatino Linotype" w:hAnsi="Palatino Linotype" w:cs="Times New Roman"/>
          <w:i/>
          <w:sz w:val="22"/>
          <w:szCs w:val="22"/>
        </w:rPr>
        <w:t>Chakras</w:t>
      </w:r>
      <w:r w:rsidRPr="004F6162">
        <w:rPr>
          <w:rFonts w:ascii="Palatino Linotype" w:hAnsi="Palatino Linotype" w:cs="Times New Roman"/>
          <w:sz w:val="22"/>
          <w:szCs w:val="22"/>
        </w:rPr>
        <w:t xml:space="preserve"> establishes its identity and formal unity through the dispersing and gathering relations between its circular elements, determined by natural forces. </w:t>
      </w:r>
      <w:r>
        <w:rPr>
          <w:rFonts w:ascii="Palatino Linotype" w:hAnsi="Palatino Linotype" w:cs="Times New Roman"/>
          <w:sz w:val="22"/>
          <w:szCs w:val="22"/>
        </w:rPr>
        <w:t xml:space="preserve"> </w:t>
      </w:r>
      <w:r w:rsidRPr="004F6162">
        <w:rPr>
          <w:rFonts w:ascii="Palatino Linotype" w:hAnsi="Palatino Linotype" w:cs="Times New Roman"/>
          <w:sz w:val="22"/>
          <w:szCs w:val="22"/>
        </w:rPr>
        <w:t xml:space="preserve">Unlike Araeen’s earlier structural works, the play of the work does not depend on the viewer. </w:t>
      </w:r>
      <w:r>
        <w:rPr>
          <w:rFonts w:ascii="Palatino Linotype" w:hAnsi="Palatino Linotype" w:cs="Times New Roman"/>
          <w:sz w:val="22"/>
          <w:szCs w:val="22"/>
        </w:rPr>
        <w:t xml:space="preserve"> </w:t>
      </w:r>
      <w:r w:rsidRPr="004F6162">
        <w:rPr>
          <w:rFonts w:ascii="Palatino Linotype" w:hAnsi="Palatino Linotype" w:cs="Times New Roman"/>
          <w:sz w:val="22"/>
          <w:szCs w:val="22"/>
        </w:rPr>
        <w:t xml:space="preserve">The incorporation of diagonals, in the more complex pieces such as </w:t>
      </w:r>
      <w:r w:rsidRPr="004F6162">
        <w:rPr>
          <w:rFonts w:ascii="Palatino Linotype" w:hAnsi="Palatino Linotype" w:cs="Times New Roman"/>
          <w:i/>
          <w:sz w:val="22"/>
          <w:szCs w:val="22"/>
        </w:rPr>
        <w:t>BoO</w:t>
      </w:r>
      <w:r w:rsidRPr="004F6162">
        <w:rPr>
          <w:rFonts w:ascii="Palatino Linotype" w:hAnsi="Palatino Linotype" w:cs="Times New Roman"/>
          <w:sz w:val="22"/>
          <w:szCs w:val="22"/>
        </w:rPr>
        <w:t xml:space="preserve"> (1969), introduce a sense of movement through an interior illusion of spiralling activated by the movement of the beholder.</w:t>
      </w:r>
      <w:r w:rsidRPr="004F6162">
        <w:rPr>
          <w:rStyle w:val="FootnoteReference"/>
          <w:rFonts w:ascii="Palatino Linotype" w:hAnsi="Palatino Linotype" w:cs="Times New Roman"/>
          <w:sz w:val="22"/>
          <w:szCs w:val="22"/>
        </w:rPr>
        <w:footnoteReference w:id="5"/>
      </w:r>
      <w:r w:rsidRPr="004F6162">
        <w:rPr>
          <w:rFonts w:ascii="Palatino Linotype" w:hAnsi="Palatino Linotype" w:cs="Times New Roman"/>
          <w:sz w:val="22"/>
          <w:szCs w:val="22"/>
        </w:rPr>
        <w:t xml:space="preserve"> </w:t>
      </w:r>
      <w:r>
        <w:rPr>
          <w:rFonts w:ascii="Palatino Linotype" w:hAnsi="Palatino Linotype" w:cs="Times New Roman"/>
          <w:sz w:val="22"/>
          <w:szCs w:val="22"/>
        </w:rPr>
        <w:t xml:space="preserve"> </w:t>
      </w:r>
      <w:r w:rsidRPr="004F6162">
        <w:rPr>
          <w:rFonts w:ascii="Palatino Linotype" w:hAnsi="Palatino Linotype" w:cs="Times New Roman"/>
          <w:sz w:val="22"/>
          <w:szCs w:val="22"/>
        </w:rPr>
        <w:t xml:space="preserve">In this sense, </w:t>
      </w:r>
      <w:r w:rsidRPr="004F6162">
        <w:rPr>
          <w:rFonts w:ascii="Palatino Linotype" w:hAnsi="Palatino Linotype" w:cs="Times New Roman"/>
          <w:i/>
          <w:sz w:val="22"/>
          <w:szCs w:val="22"/>
        </w:rPr>
        <w:t>Chakras</w:t>
      </w:r>
      <w:r w:rsidRPr="004F6162">
        <w:rPr>
          <w:rFonts w:ascii="Palatino Linotype" w:hAnsi="Palatino Linotype" w:cs="Times New Roman"/>
          <w:sz w:val="22"/>
          <w:szCs w:val="22"/>
        </w:rPr>
        <w:t xml:space="preserve"> is indifferent to its viewer. </w:t>
      </w:r>
      <w:r>
        <w:rPr>
          <w:rFonts w:ascii="Palatino Linotype" w:hAnsi="Palatino Linotype" w:cs="Times New Roman"/>
          <w:sz w:val="22"/>
          <w:szCs w:val="22"/>
        </w:rPr>
        <w:t xml:space="preserve"> </w:t>
      </w:r>
      <w:r w:rsidRPr="004F6162">
        <w:rPr>
          <w:rFonts w:ascii="Palatino Linotype" w:hAnsi="Palatino Linotype" w:cs="Times New Roman"/>
          <w:sz w:val="22"/>
          <w:szCs w:val="22"/>
        </w:rPr>
        <w:t xml:space="preserve">Although Araeen invites participation in the making of the work, the work is not dependent on the participants for its continuing mode of existence. </w:t>
      </w:r>
      <w:r>
        <w:rPr>
          <w:rFonts w:ascii="Palatino Linotype" w:hAnsi="Palatino Linotype" w:cs="Times New Roman"/>
          <w:sz w:val="22"/>
          <w:szCs w:val="22"/>
        </w:rPr>
        <w:t xml:space="preserve"> </w:t>
      </w:r>
      <w:r w:rsidRPr="004F6162">
        <w:rPr>
          <w:rFonts w:ascii="Palatino Linotype" w:hAnsi="Palatino Linotype" w:cs="Times New Roman"/>
          <w:sz w:val="22"/>
          <w:szCs w:val="22"/>
        </w:rPr>
        <w:t>Once in play, launched into the water, the work has its own life and suffers its own fate.</w:t>
      </w:r>
      <w:r>
        <w:rPr>
          <w:rFonts w:ascii="Palatino Linotype" w:hAnsi="Palatino Linotype" w:cs="Times New Roman"/>
          <w:sz w:val="22"/>
          <w:szCs w:val="22"/>
        </w:rPr>
        <w:t xml:space="preserve"> </w:t>
      </w:r>
      <w:r w:rsidRPr="004F6162">
        <w:rPr>
          <w:rFonts w:ascii="Palatino Linotype" w:hAnsi="Palatino Linotype" w:cs="Times New Roman"/>
          <w:sz w:val="22"/>
          <w:szCs w:val="22"/>
        </w:rPr>
        <w:t xml:space="preserve"> Its form constitutes the precondition for the open-ended play of identity and difference that defines this life, a play that extends to its subsequent variations and the relationships between these and their situations.</w:t>
      </w:r>
    </w:p>
    <w:p w14:paraId="3F709B08" w14:textId="77777777" w:rsidR="004F6162" w:rsidRPr="004F6162" w:rsidRDefault="004F6162" w:rsidP="004F6162">
      <w:pPr>
        <w:spacing w:line="480" w:lineRule="auto"/>
        <w:ind w:firstLine="720"/>
        <w:rPr>
          <w:rFonts w:ascii="Palatino Linotype" w:hAnsi="Palatino Linotype" w:cs="Times New Roman"/>
          <w:sz w:val="22"/>
          <w:szCs w:val="22"/>
        </w:rPr>
      </w:pPr>
      <w:r w:rsidRPr="004F6162">
        <w:rPr>
          <w:rFonts w:ascii="Palatino Linotype" w:hAnsi="Palatino Linotype" w:cs="Times New Roman"/>
          <w:sz w:val="22"/>
          <w:szCs w:val="22"/>
        </w:rPr>
        <w:t xml:space="preserve">In this respect, a helpful distinction might be drawn between </w:t>
      </w:r>
      <w:r w:rsidRPr="004F6162">
        <w:rPr>
          <w:rFonts w:ascii="Palatino Linotype" w:hAnsi="Palatino Linotype" w:cs="Times New Roman"/>
          <w:i/>
          <w:sz w:val="22"/>
          <w:szCs w:val="22"/>
        </w:rPr>
        <w:t>Chakras</w:t>
      </w:r>
      <w:r w:rsidRPr="004F6162">
        <w:rPr>
          <w:rFonts w:ascii="Palatino Linotype" w:hAnsi="Palatino Linotype" w:cs="Times New Roman"/>
          <w:sz w:val="22"/>
          <w:szCs w:val="22"/>
        </w:rPr>
        <w:t xml:space="preserve"> and a work that explicitly depends on action and participation.</w:t>
      </w:r>
      <w:r>
        <w:rPr>
          <w:rFonts w:ascii="Palatino Linotype" w:hAnsi="Palatino Linotype" w:cs="Times New Roman"/>
          <w:sz w:val="22"/>
          <w:szCs w:val="22"/>
        </w:rPr>
        <w:t xml:space="preserve"> </w:t>
      </w:r>
      <w:r w:rsidRPr="004F6162">
        <w:rPr>
          <w:rFonts w:ascii="Palatino Linotype" w:hAnsi="Palatino Linotype" w:cs="Times New Roman"/>
          <w:sz w:val="22"/>
          <w:szCs w:val="22"/>
        </w:rPr>
        <w:t xml:space="preserve"> In 1968, Araeen had proposed a work to the Institute of Contemporary Arts (ICA) in London with the title </w:t>
      </w:r>
      <w:r w:rsidRPr="004F6162">
        <w:rPr>
          <w:rFonts w:ascii="Palatino Linotype" w:hAnsi="Palatino Linotype" w:cs="Times New Roman"/>
          <w:i/>
          <w:sz w:val="22"/>
          <w:szCs w:val="22"/>
        </w:rPr>
        <w:t>Bio-structural Play</w:t>
      </w:r>
      <w:r w:rsidRPr="004F6162">
        <w:rPr>
          <w:rFonts w:ascii="Palatino Linotype" w:hAnsi="Palatino Linotype" w:cs="Times New Roman"/>
          <w:sz w:val="22"/>
          <w:szCs w:val="22"/>
        </w:rPr>
        <w:t>.</w:t>
      </w:r>
      <w:r w:rsidRPr="004F6162">
        <w:rPr>
          <w:rStyle w:val="FootnoteReference"/>
          <w:rFonts w:ascii="Palatino Linotype" w:hAnsi="Palatino Linotype" w:cs="Times New Roman"/>
          <w:sz w:val="22"/>
          <w:szCs w:val="22"/>
        </w:rPr>
        <w:footnoteReference w:id="6"/>
      </w:r>
      <w:r w:rsidRPr="004F6162">
        <w:rPr>
          <w:rFonts w:ascii="Palatino Linotype" w:hAnsi="Palatino Linotype" w:cs="Times New Roman"/>
          <w:sz w:val="22"/>
          <w:szCs w:val="22"/>
        </w:rPr>
        <w:t xml:space="preserve"> </w:t>
      </w:r>
      <w:r>
        <w:rPr>
          <w:rFonts w:ascii="Palatino Linotype" w:hAnsi="Palatino Linotype" w:cs="Times New Roman"/>
          <w:sz w:val="22"/>
          <w:szCs w:val="22"/>
        </w:rPr>
        <w:t xml:space="preserve"> </w:t>
      </w:r>
      <w:r w:rsidRPr="004F6162">
        <w:rPr>
          <w:rFonts w:ascii="Palatino Linotype" w:hAnsi="Palatino Linotype" w:cs="Times New Roman"/>
          <w:sz w:val="22"/>
          <w:szCs w:val="22"/>
        </w:rPr>
        <w:t xml:space="preserve">The work was only realized much later, with the changed title </w:t>
      </w:r>
      <w:r w:rsidRPr="004F6162">
        <w:rPr>
          <w:rFonts w:ascii="Palatino Linotype" w:hAnsi="Palatino Linotype" w:cs="Times New Roman"/>
          <w:i/>
          <w:sz w:val="22"/>
          <w:szCs w:val="22"/>
        </w:rPr>
        <w:t>Zero to Infinity</w:t>
      </w:r>
      <w:r w:rsidRPr="004F6162">
        <w:rPr>
          <w:rFonts w:ascii="Palatino Linotype" w:hAnsi="Palatino Linotype" w:cs="Times New Roman"/>
          <w:sz w:val="22"/>
          <w:szCs w:val="22"/>
        </w:rPr>
        <w:t xml:space="preserve">. </w:t>
      </w:r>
      <w:r>
        <w:rPr>
          <w:rFonts w:ascii="Palatino Linotype" w:hAnsi="Palatino Linotype" w:cs="Times New Roman"/>
          <w:sz w:val="22"/>
          <w:szCs w:val="22"/>
        </w:rPr>
        <w:t xml:space="preserve"> </w:t>
      </w:r>
      <w:r w:rsidRPr="004F6162">
        <w:rPr>
          <w:rFonts w:ascii="Palatino Linotype" w:hAnsi="Palatino Linotype" w:cs="Times New Roman"/>
          <w:sz w:val="22"/>
          <w:szCs w:val="22"/>
        </w:rPr>
        <w:t xml:space="preserve">It consisted of 100 open cube structures arranged in a ten by ten square pattern on the ground intended to be freely reordered into any kind of structure by its audience who, through their physical involvement, became participants. </w:t>
      </w:r>
      <w:r>
        <w:rPr>
          <w:rFonts w:ascii="Palatino Linotype" w:hAnsi="Palatino Linotype" w:cs="Times New Roman"/>
          <w:sz w:val="22"/>
          <w:szCs w:val="22"/>
        </w:rPr>
        <w:t xml:space="preserve"> </w:t>
      </w:r>
      <w:r w:rsidRPr="004F6162">
        <w:rPr>
          <w:rFonts w:ascii="Palatino Linotype" w:hAnsi="Palatino Linotype" w:cs="Times New Roman"/>
          <w:sz w:val="22"/>
          <w:szCs w:val="22"/>
        </w:rPr>
        <w:t xml:space="preserve">The wooden cubes incorporate diagonal struts, and are painted (blue in a later realization of the work now owned by the Tate). </w:t>
      </w:r>
      <w:r>
        <w:rPr>
          <w:rFonts w:ascii="Palatino Linotype" w:hAnsi="Palatino Linotype" w:cs="Times New Roman"/>
          <w:sz w:val="22"/>
          <w:szCs w:val="22"/>
        </w:rPr>
        <w:t xml:space="preserve"> </w:t>
      </w:r>
      <w:r w:rsidRPr="004F6162">
        <w:rPr>
          <w:rFonts w:ascii="Palatino Linotype" w:hAnsi="Palatino Linotype" w:cs="Times New Roman"/>
          <w:sz w:val="22"/>
          <w:szCs w:val="22"/>
        </w:rPr>
        <w:t xml:space="preserve">The diagonals are slightly displaced since the cut end is joined, for strength, to a vertical or horizontal strut, producing a slight change in angle. </w:t>
      </w:r>
      <w:r>
        <w:rPr>
          <w:rFonts w:ascii="Palatino Linotype" w:hAnsi="Palatino Linotype" w:cs="Times New Roman"/>
          <w:sz w:val="22"/>
          <w:szCs w:val="22"/>
        </w:rPr>
        <w:t xml:space="preserve"> </w:t>
      </w:r>
      <w:r w:rsidRPr="004F6162">
        <w:rPr>
          <w:rFonts w:ascii="Palatino Linotype" w:hAnsi="Palatino Linotype" w:cs="Times New Roman"/>
          <w:sz w:val="22"/>
          <w:szCs w:val="22"/>
        </w:rPr>
        <w:t xml:space="preserve">Within the structure there is thus an initial play between a geometrical order of linearity and points and an order that resulted from the width of the actual material used to make it, which must have been a matter of practical knowledge for Araeen, who was a trained engineer. </w:t>
      </w:r>
      <w:r>
        <w:rPr>
          <w:rFonts w:ascii="Palatino Linotype" w:hAnsi="Palatino Linotype" w:cs="Times New Roman"/>
          <w:sz w:val="22"/>
          <w:szCs w:val="22"/>
        </w:rPr>
        <w:t xml:space="preserve"> </w:t>
      </w:r>
      <w:r w:rsidRPr="004F6162">
        <w:rPr>
          <w:rFonts w:ascii="Palatino Linotype" w:hAnsi="Palatino Linotype" w:cs="Times New Roman"/>
          <w:sz w:val="22"/>
          <w:szCs w:val="22"/>
        </w:rPr>
        <w:t xml:space="preserve">The basic structure of the cubes follows that of earlier works, including a precursor for </w:t>
      </w:r>
      <w:r w:rsidRPr="004F6162">
        <w:rPr>
          <w:rFonts w:ascii="Palatino Linotype" w:hAnsi="Palatino Linotype" w:cs="Times New Roman"/>
          <w:i/>
          <w:sz w:val="22"/>
          <w:szCs w:val="22"/>
        </w:rPr>
        <w:t>Bio-structural Play</w:t>
      </w:r>
      <w:r w:rsidRPr="004F6162">
        <w:rPr>
          <w:rFonts w:ascii="Palatino Linotype" w:hAnsi="Palatino Linotype" w:cs="Times New Roman"/>
          <w:sz w:val="22"/>
          <w:szCs w:val="22"/>
        </w:rPr>
        <w:t xml:space="preserve">, titled </w:t>
      </w:r>
      <w:r w:rsidRPr="004F6162">
        <w:rPr>
          <w:rFonts w:ascii="Palatino Linotype" w:hAnsi="Palatino Linotype" w:cs="Times New Roman"/>
          <w:i/>
          <w:sz w:val="22"/>
          <w:szCs w:val="22"/>
        </w:rPr>
        <w:t>Chaar Yaar</w:t>
      </w:r>
      <w:r w:rsidRPr="004F6162">
        <w:rPr>
          <w:rFonts w:ascii="Palatino Linotype" w:hAnsi="Palatino Linotype" w:cs="Times New Roman"/>
          <w:sz w:val="22"/>
          <w:szCs w:val="22"/>
        </w:rPr>
        <w:t xml:space="preserve"> (1968), which comprise four cubes painted red, blue, orange, and yellow, which could be composed in different ways (square, line, or vertical stack). </w:t>
      </w:r>
      <w:r>
        <w:rPr>
          <w:rFonts w:ascii="Palatino Linotype" w:hAnsi="Palatino Linotype" w:cs="Times New Roman"/>
          <w:sz w:val="22"/>
          <w:szCs w:val="22"/>
        </w:rPr>
        <w:t xml:space="preserve"> </w:t>
      </w:r>
      <w:r w:rsidRPr="004F6162">
        <w:rPr>
          <w:rFonts w:ascii="Palatino Linotype" w:hAnsi="Palatino Linotype" w:cs="Times New Roman"/>
          <w:sz w:val="22"/>
          <w:szCs w:val="22"/>
        </w:rPr>
        <w:t xml:space="preserve">In one sense, </w:t>
      </w:r>
      <w:r w:rsidRPr="004F6162">
        <w:rPr>
          <w:rFonts w:ascii="Palatino Linotype" w:hAnsi="Palatino Linotype" w:cs="Times New Roman"/>
          <w:i/>
          <w:sz w:val="22"/>
          <w:szCs w:val="22"/>
        </w:rPr>
        <w:t>Bio-structural Play</w:t>
      </w:r>
      <w:r w:rsidRPr="004F6162">
        <w:rPr>
          <w:rFonts w:ascii="Palatino Linotype" w:hAnsi="Palatino Linotype" w:cs="Times New Roman"/>
          <w:sz w:val="22"/>
          <w:szCs w:val="22"/>
        </w:rPr>
        <w:t xml:space="preserve">, and its later realized version, </w:t>
      </w:r>
      <w:r w:rsidRPr="004F6162">
        <w:rPr>
          <w:rFonts w:ascii="Palatino Linotype" w:hAnsi="Palatino Linotype" w:cs="Times New Roman"/>
          <w:i/>
          <w:sz w:val="22"/>
          <w:szCs w:val="22"/>
        </w:rPr>
        <w:t>Zero to Infinity</w:t>
      </w:r>
      <w:r w:rsidRPr="004F6162">
        <w:rPr>
          <w:rFonts w:ascii="Palatino Linotype" w:hAnsi="Palatino Linotype" w:cs="Times New Roman"/>
          <w:sz w:val="22"/>
          <w:szCs w:val="22"/>
        </w:rPr>
        <w:t>, take the interior illusion of play within the earlier structural works and exteriorize it through a physical engagement with participants, actualizing a potentiality already contained in the work.</w:t>
      </w:r>
      <w:r>
        <w:rPr>
          <w:rFonts w:ascii="Palatino Linotype" w:hAnsi="Palatino Linotype" w:cs="Times New Roman"/>
          <w:sz w:val="22"/>
          <w:szCs w:val="22"/>
        </w:rPr>
        <w:t xml:space="preserve"> </w:t>
      </w:r>
      <w:r w:rsidRPr="004F6162">
        <w:rPr>
          <w:rFonts w:ascii="Palatino Linotype" w:hAnsi="Palatino Linotype" w:cs="Times New Roman"/>
          <w:sz w:val="22"/>
          <w:szCs w:val="22"/>
        </w:rPr>
        <w:t xml:space="preserve"> Like </w:t>
      </w:r>
      <w:r w:rsidRPr="004F6162">
        <w:rPr>
          <w:rFonts w:ascii="Palatino Linotype" w:hAnsi="Palatino Linotype" w:cs="Times New Roman"/>
          <w:i/>
          <w:sz w:val="22"/>
          <w:szCs w:val="22"/>
        </w:rPr>
        <w:t>Chakras</w:t>
      </w:r>
      <w:r w:rsidRPr="004F6162">
        <w:rPr>
          <w:rFonts w:ascii="Palatino Linotype" w:hAnsi="Palatino Linotype" w:cs="Times New Roman"/>
          <w:sz w:val="22"/>
          <w:szCs w:val="22"/>
        </w:rPr>
        <w:t xml:space="preserve">, it depends on the action of play, but this agency resides in persons rather than environment. </w:t>
      </w:r>
    </w:p>
    <w:p w14:paraId="5DF84D6F" w14:textId="77777777" w:rsidR="004F6162" w:rsidRPr="004F6162" w:rsidRDefault="004F6162" w:rsidP="004F6162">
      <w:pPr>
        <w:spacing w:line="480" w:lineRule="auto"/>
        <w:ind w:firstLine="720"/>
        <w:rPr>
          <w:rFonts w:ascii="Palatino Linotype" w:hAnsi="Palatino Linotype" w:cs="Times New Roman"/>
          <w:sz w:val="22"/>
          <w:szCs w:val="22"/>
        </w:rPr>
      </w:pPr>
      <w:r w:rsidRPr="004F6162">
        <w:rPr>
          <w:rFonts w:ascii="Palatino Linotype" w:hAnsi="Palatino Linotype" w:cs="Times New Roman"/>
          <w:sz w:val="22"/>
          <w:szCs w:val="22"/>
        </w:rPr>
        <w:t xml:space="preserve">The original title, </w:t>
      </w:r>
      <w:r w:rsidRPr="004F6162">
        <w:rPr>
          <w:rFonts w:ascii="Palatino Linotype" w:hAnsi="Palatino Linotype" w:cs="Times New Roman"/>
          <w:i/>
          <w:sz w:val="22"/>
          <w:szCs w:val="22"/>
        </w:rPr>
        <w:t>Bio-structural Play</w:t>
      </w:r>
      <w:r w:rsidRPr="004F6162">
        <w:rPr>
          <w:rFonts w:ascii="Palatino Linotype" w:hAnsi="Palatino Linotype" w:cs="Times New Roman"/>
          <w:sz w:val="22"/>
          <w:szCs w:val="22"/>
        </w:rPr>
        <w:t>, suggests theoretical parameters to interpret the development in Araeen’s work from the earlier Minimalist structural works to the Postminimalist work from the late 1960s and early 1970s.</w:t>
      </w:r>
      <w:r>
        <w:rPr>
          <w:rFonts w:ascii="Palatino Linotype" w:hAnsi="Palatino Linotype" w:cs="Times New Roman"/>
          <w:sz w:val="22"/>
          <w:szCs w:val="22"/>
        </w:rPr>
        <w:t xml:space="preserve"> </w:t>
      </w:r>
      <w:r w:rsidRPr="004F6162">
        <w:rPr>
          <w:rFonts w:ascii="Palatino Linotype" w:hAnsi="Palatino Linotype" w:cs="Times New Roman"/>
          <w:sz w:val="22"/>
          <w:szCs w:val="22"/>
        </w:rPr>
        <w:t xml:space="preserve"> The word ‘play’ contains a polysemy, which is brought out by its relationship to the other two terms. </w:t>
      </w:r>
      <w:r>
        <w:rPr>
          <w:rFonts w:ascii="Palatino Linotype" w:hAnsi="Palatino Linotype" w:cs="Times New Roman"/>
          <w:sz w:val="22"/>
          <w:szCs w:val="22"/>
        </w:rPr>
        <w:t xml:space="preserve"> </w:t>
      </w:r>
      <w:r w:rsidRPr="004F6162">
        <w:rPr>
          <w:rFonts w:ascii="Palatino Linotype" w:hAnsi="Palatino Linotype" w:cs="Times New Roman"/>
          <w:sz w:val="22"/>
          <w:szCs w:val="22"/>
        </w:rPr>
        <w:t xml:space="preserve">Play can pertain to a movement within an already existing structure, as in, for example, the play in a mechanism, or in a game with rules. </w:t>
      </w:r>
      <w:r>
        <w:rPr>
          <w:rFonts w:ascii="Palatino Linotype" w:hAnsi="Palatino Linotype" w:cs="Times New Roman"/>
          <w:sz w:val="22"/>
          <w:szCs w:val="22"/>
        </w:rPr>
        <w:t xml:space="preserve"> </w:t>
      </w:r>
      <w:r w:rsidRPr="004F6162">
        <w:rPr>
          <w:rFonts w:ascii="Palatino Linotype" w:hAnsi="Palatino Linotype" w:cs="Times New Roman"/>
          <w:sz w:val="22"/>
          <w:szCs w:val="22"/>
        </w:rPr>
        <w:t xml:space="preserve">Play, however, can also refer an absence or excess of structure, consisting in free action; here it is closer to life, in which new forms and relations are continually emerging. </w:t>
      </w:r>
      <w:r w:rsidRPr="004F6162">
        <w:rPr>
          <w:rFonts w:ascii="Palatino Linotype" w:hAnsi="Palatino Linotype" w:cs="Times New Roman"/>
          <w:i/>
          <w:sz w:val="22"/>
          <w:szCs w:val="22"/>
        </w:rPr>
        <w:t>Bio-structural Play</w:t>
      </w:r>
      <w:r w:rsidRPr="004F6162">
        <w:rPr>
          <w:rFonts w:ascii="Palatino Linotype" w:hAnsi="Palatino Linotype" w:cs="Times New Roman"/>
          <w:sz w:val="22"/>
          <w:szCs w:val="22"/>
        </w:rPr>
        <w:t xml:space="preserve"> invokes this continuum of meanings, and the terms suggest some affinities with the contemporary philosophical thinking concerned with the structurality of structure. </w:t>
      </w:r>
      <w:r>
        <w:rPr>
          <w:rFonts w:ascii="Palatino Linotype" w:hAnsi="Palatino Linotype" w:cs="Times New Roman"/>
          <w:sz w:val="22"/>
          <w:szCs w:val="22"/>
        </w:rPr>
        <w:t xml:space="preserve"> </w:t>
      </w:r>
      <w:r w:rsidRPr="004F6162">
        <w:rPr>
          <w:rFonts w:ascii="Palatino Linotype" w:hAnsi="Palatino Linotype" w:cs="Times New Roman"/>
          <w:sz w:val="22"/>
          <w:szCs w:val="22"/>
        </w:rPr>
        <w:t>Both Jacques Derrida’s ‘Structure, Sign and Play in the Discourse of the Human Sciences’ first published in 1967, and Gilles Deleuze’s text, also from 1967, ‘How Do We Recognize Structuralism?’ draw attention to the necessity of the indeterminacy of play in defining structure, from Derrida’s concept of play as ‘a field of infinite substitutions’ within a finite structure to Deleuze’s metaphor of the ‘empty square’ in a game to refer to the serial organization of structure as the actualization of its properly virtual existence.</w:t>
      </w:r>
      <w:r w:rsidRPr="004F6162">
        <w:rPr>
          <w:rStyle w:val="FootnoteReference"/>
          <w:rFonts w:ascii="Palatino Linotype" w:hAnsi="Palatino Linotype" w:cs="Times New Roman"/>
          <w:sz w:val="22"/>
          <w:szCs w:val="22"/>
        </w:rPr>
        <w:footnoteReference w:id="7"/>
      </w:r>
      <w:r w:rsidRPr="004F6162">
        <w:rPr>
          <w:rFonts w:ascii="Palatino Linotype" w:hAnsi="Palatino Linotype" w:cs="Times New Roman"/>
          <w:sz w:val="22"/>
          <w:szCs w:val="22"/>
        </w:rPr>
        <w:t xml:space="preserve"> </w:t>
      </w:r>
      <w:r>
        <w:rPr>
          <w:rFonts w:ascii="Palatino Linotype" w:hAnsi="Palatino Linotype" w:cs="Times New Roman"/>
          <w:sz w:val="22"/>
          <w:szCs w:val="22"/>
        </w:rPr>
        <w:t xml:space="preserve"> </w:t>
      </w:r>
      <w:r w:rsidRPr="004F6162">
        <w:rPr>
          <w:rFonts w:ascii="Palatino Linotype" w:hAnsi="Palatino Linotype" w:cs="Times New Roman"/>
          <w:sz w:val="22"/>
          <w:szCs w:val="22"/>
        </w:rPr>
        <w:t xml:space="preserve">Structure and play are inseparable, and each conditions the other. </w:t>
      </w:r>
    </w:p>
    <w:p w14:paraId="19BF78C3" w14:textId="77777777" w:rsidR="004F6162" w:rsidRPr="004F6162" w:rsidRDefault="004F6162" w:rsidP="004F6162">
      <w:pPr>
        <w:spacing w:line="480" w:lineRule="auto"/>
        <w:ind w:firstLine="720"/>
        <w:rPr>
          <w:rFonts w:ascii="Palatino Linotype" w:hAnsi="Palatino Linotype" w:cs="Times New Roman"/>
          <w:sz w:val="22"/>
          <w:szCs w:val="22"/>
        </w:rPr>
      </w:pPr>
      <w:r w:rsidRPr="004F6162">
        <w:rPr>
          <w:rFonts w:ascii="Palatino Linotype" w:hAnsi="Palatino Linotype" w:cs="Times New Roman"/>
          <w:sz w:val="22"/>
          <w:szCs w:val="22"/>
        </w:rPr>
        <w:t xml:space="preserve">It is impossible to dissociate Araeen’s work of the late 1960s and early 1970s from a general tendency in art to explore the social and political potential of participation and play (and its complex interactions with other currents, including the kinetic and cybernetic). </w:t>
      </w:r>
      <w:r>
        <w:rPr>
          <w:rFonts w:ascii="Palatino Linotype" w:hAnsi="Palatino Linotype" w:cs="Times New Roman"/>
          <w:sz w:val="22"/>
          <w:szCs w:val="22"/>
        </w:rPr>
        <w:t xml:space="preserve"> </w:t>
      </w:r>
      <w:r w:rsidRPr="004F6162">
        <w:rPr>
          <w:rFonts w:ascii="Palatino Linotype" w:hAnsi="Palatino Linotype" w:cs="Times New Roman"/>
          <w:sz w:val="22"/>
          <w:szCs w:val="22"/>
        </w:rPr>
        <w:t xml:space="preserve">Probably the first overview of these trends is Frank Popper’s 1975 book, </w:t>
      </w:r>
      <w:r w:rsidRPr="004F6162">
        <w:rPr>
          <w:rFonts w:ascii="Palatino Linotype" w:hAnsi="Palatino Linotype" w:cs="Times New Roman"/>
          <w:i/>
          <w:sz w:val="22"/>
          <w:szCs w:val="22"/>
        </w:rPr>
        <w:t>Art – Action and Participation</w:t>
      </w:r>
      <w:r w:rsidRPr="004F6162">
        <w:rPr>
          <w:rFonts w:ascii="Palatino Linotype" w:hAnsi="Palatino Linotype" w:cs="Times New Roman"/>
          <w:sz w:val="22"/>
          <w:szCs w:val="22"/>
        </w:rPr>
        <w:t xml:space="preserve">, which includes a discussion of Araeen’s </w:t>
      </w:r>
      <w:r w:rsidRPr="004F6162">
        <w:rPr>
          <w:rFonts w:ascii="Palatino Linotype" w:hAnsi="Palatino Linotype" w:cs="Times New Roman"/>
          <w:i/>
          <w:sz w:val="22"/>
          <w:szCs w:val="22"/>
        </w:rPr>
        <w:t>Canalevent</w:t>
      </w:r>
      <w:r w:rsidRPr="004F6162">
        <w:rPr>
          <w:rFonts w:ascii="Palatino Linotype" w:hAnsi="Palatino Linotype" w:cs="Times New Roman"/>
          <w:sz w:val="22"/>
          <w:szCs w:val="22"/>
        </w:rPr>
        <w:t xml:space="preserve">. </w:t>
      </w:r>
      <w:r>
        <w:rPr>
          <w:rFonts w:ascii="Palatino Linotype" w:hAnsi="Palatino Linotype" w:cs="Times New Roman"/>
          <w:sz w:val="22"/>
          <w:szCs w:val="22"/>
        </w:rPr>
        <w:t xml:space="preserve"> </w:t>
      </w:r>
      <w:r w:rsidRPr="004F6162">
        <w:rPr>
          <w:rFonts w:ascii="Palatino Linotype" w:hAnsi="Palatino Linotype" w:cs="Times New Roman"/>
          <w:sz w:val="22"/>
          <w:szCs w:val="22"/>
        </w:rPr>
        <w:t xml:space="preserve">In Britain, Popper identified such exhibitions as </w:t>
      </w:r>
      <w:r w:rsidRPr="004F6162">
        <w:rPr>
          <w:rFonts w:ascii="Palatino Linotype" w:hAnsi="Palatino Linotype" w:cs="Times New Roman"/>
          <w:i/>
          <w:sz w:val="22"/>
          <w:szCs w:val="22"/>
        </w:rPr>
        <w:t>Play Orbit</w:t>
      </w:r>
      <w:r w:rsidRPr="004F6162">
        <w:rPr>
          <w:rFonts w:ascii="Palatino Linotype" w:hAnsi="Palatino Linotype" w:cs="Times New Roman"/>
          <w:sz w:val="22"/>
          <w:szCs w:val="22"/>
        </w:rPr>
        <w:t xml:space="preserve">, shown at the ICA in late 1969, and </w:t>
      </w:r>
      <w:r w:rsidRPr="004F6162">
        <w:rPr>
          <w:rFonts w:ascii="Palatino Linotype" w:hAnsi="Palatino Linotype" w:cs="Times New Roman"/>
          <w:i/>
          <w:sz w:val="22"/>
          <w:szCs w:val="22"/>
        </w:rPr>
        <w:t>Popa at Moma: Pioneers of Part-Art</w:t>
      </w:r>
      <w:r w:rsidRPr="004F6162">
        <w:rPr>
          <w:rFonts w:ascii="Palatino Linotype" w:hAnsi="Palatino Linotype" w:cs="Times New Roman"/>
          <w:sz w:val="22"/>
          <w:szCs w:val="22"/>
        </w:rPr>
        <w:t xml:space="preserve"> (‘Part-Art’ short for ‘Participation Art’), at the Museum of Modern Art, Oxford in early 1971, as representative of this tendency.</w:t>
      </w:r>
      <w:r w:rsidRPr="004F6162">
        <w:rPr>
          <w:rStyle w:val="FootnoteReference"/>
          <w:rFonts w:ascii="Palatino Linotype" w:hAnsi="Palatino Linotype" w:cs="Times New Roman"/>
          <w:sz w:val="22"/>
          <w:szCs w:val="22"/>
        </w:rPr>
        <w:footnoteReference w:id="8"/>
      </w:r>
      <w:r w:rsidRPr="004F6162">
        <w:rPr>
          <w:rFonts w:ascii="Palatino Linotype" w:hAnsi="Palatino Linotype" w:cs="Times New Roman"/>
          <w:sz w:val="22"/>
          <w:szCs w:val="22"/>
        </w:rPr>
        <w:t xml:space="preserve"> </w:t>
      </w:r>
      <w:r>
        <w:rPr>
          <w:rFonts w:ascii="Palatino Linotype" w:hAnsi="Palatino Linotype" w:cs="Times New Roman"/>
          <w:sz w:val="22"/>
          <w:szCs w:val="22"/>
        </w:rPr>
        <w:t xml:space="preserve"> </w:t>
      </w:r>
      <w:r w:rsidRPr="004F6162">
        <w:rPr>
          <w:rFonts w:ascii="Palatino Linotype" w:hAnsi="Palatino Linotype" w:cs="Times New Roman"/>
          <w:sz w:val="22"/>
          <w:szCs w:val="22"/>
        </w:rPr>
        <w:t>The first identified art with play through toys and games, while the second included works that were intended for participation (although in practice this proved too chaotic).</w:t>
      </w:r>
      <w:r w:rsidRPr="004F6162">
        <w:rPr>
          <w:rFonts w:ascii="Palatino Linotype" w:hAnsi="Palatino Linotype" w:cs="Times New Roman"/>
          <w:sz w:val="22"/>
          <w:szCs w:val="22"/>
          <w:vertAlign w:val="superscript"/>
        </w:rPr>
        <w:footnoteReference w:id="9"/>
      </w:r>
      <w:r w:rsidRPr="004F6162">
        <w:rPr>
          <w:rFonts w:ascii="Palatino Linotype" w:hAnsi="Palatino Linotype" w:cs="Times New Roman"/>
          <w:sz w:val="22"/>
          <w:szCs w:val="22"/>
        </w:rPr>
        <w:t xml:space="preserve"> </w:t>
      </w:r>
      <w:r>
        <w:rPr>
          <w:rFonts w:ascii="Palatino Linotype" w:hAnsi="Palatino Linotype" w:cs="Times New Roman"/>
          <w:sz w:val="22"/>
          <w:szCs w:val="22"/>
        </w:rPr>
        <w:t xml:space="preserve"> </w:t>
      </w:r>
      <w:r w:rsidRPr="004F6162">
        <w:rPr>
          <w:rFonts w:ascii="Palatino Linotype" w:hAnsi="Palatino Linotype" w:cs="Times New Roman"/>
          <w:sz w:val="22"/>
          <w:szCs w:val="22"/>
        </w:rPr>
        <w:t xml:space="preserve">Several of the artists involved in the latter had been associated with the avant-garde gallery Signals London during the mid-1960s, including David Medalla, Lygia Clark, and Hélio Oiticica, of which Araeen would have been aware. </w:t>
      </w:r>
      <w:r>
        <w:rPr>
          <w:rFonts w:ascii="Palatino Linotype" w:hAnsi="Palatino Linotype" w:cs="Times New Roman"/>
          <w:sz w:val="22"/>
          <w:szCs w:val="22"/>
        </w:rPr>
        <w:t xml:space="preserve"> </w:t>
      </w:r>
      <w:r w:rsidRPr="004F6162">
        <w:rPr>
          <w:rFonts w:ascii="Palatino Linotype" w:hAnsi="Palatino Linotype" w:cs="Times New Roman"/>
          <w:sz w:val="22"/>
          <w:szCs w:val="22"/>
        </w:rPr>
        <w:t xml:space="preserve">Medalla’s early ‘biokinetic’ works, and others by Clark including her rearrangeable </w:t>
      </w:r>
      <w:r w:rsidRPr="004F6162">
        <w:rPr>
          <w:rFonts w:ascii="Palatino Linotype" w:hAnsi="Palatino Linotype" w:cs="Times New Roman"/>
          <w:i/>
          <w:sz w:val="22"/>
          <w:szCs w:val="22"/>
        </w:rPr>
        <w:t>Bichos</w:t>
      </w:r>
      <w:r w:rsidRPr="004F6162">
        <w:rPr>
          <w:rFonts w:ascii="Palatino Linotype" w:hAnsi="Palatino Linotype" w:cs="Times New Roman"/>
          <w:sz w:val="22"/>
          <w:szCs w:val="22"/>
        </w:rPr>
        <w:t xml:space="preserve"> (shown at Signals in 1965) and </w:t>
      </w:r>
      <w:r w:rsidRPr="004F6162">
        <w:rPr>
          <w:rFonts w:ascii="Palatino Linotype" w:hAnsi="Palatino Linotype" w:cs="Times New Roman"/>
          <w:i/>
          <w:sz w:val="22"/>
          <w:szCs w:val="22"/>
        </w:rPr>
        <w:t>Monument in All Situations</w:t>
      </w:r>
      <w:r w:rsidRPr="004F6162">
        <w:rPr>
          <w:rFonts w:ascii="Palatino Linotype" w:hAnsi="Palatino Linotype" w:cs="Times New Roman"/>
          <w:sz w:val="22"/>
          <w:szCs w:val="22"/>
        </w:rPr>
        <w:t xml:space="preserve"> (1964) give some sense of the artistic milieu in which </w:t>
      </w:r>
      <w:r w:rsidRPr="004F6162">
        <w:rPr>
          <w:rFonts w:ascii="Palatino Linotype" w:hAnsi="Palatino Linotype" w:cs="Times New Roman"/>
          <w:i/>
          <w:sz w:val="22"/>
          <w:szCs w:val="22"/>
        </w:rPr>
        <w:t>Bio-structural Play</w:t>
      </w:r>
      <w:r w:rsidRPr="004F6162">
        <w:rPr>
          <w:rFonts w:ascii="Palatino Linotype" w:hAnsi="Palatino Linotype" w:cs="Times New Roman"/>
          <w:sz w:val="22"/>
          <w:szCs w:val="22"/>
        </w:rPr>
        <w:t xml:space="preserve"> might be positioned. </w:t>
      </w:r>
      <w:r>
        <w:rPr>
          <w:rFonts w:ascii="Palatino Linotype" w:hAnsi="Palatino Linotype" w:cs="Times New Roman"/>
          <w:sz w:val="22"/>
          <w:szCs w:val="22"/>
        </w:rPr>
        <w:t xml:space="preserve"> </w:t>
      </w:r>
      <w:r w:rsidRPr="004F6162">
        <w:rPr>
          <w:rFonts w:ascii="Palatino Linotype" w:hAnsi="Palatino Linotype" w:cs="Times New Roman"/>
          <w:sz w:val="22"/>
          <w:szCs w:val="22"/>
        </w:rPr>
        <w:t xml:space="preserve">Much of the work addressed in </w:t>
      </w:r>
      <w:r w:rsidRPr="004F6162">
        <w:rPr>
          <w:rFonts w:ascii="Palatino Linotype" w:hAnsi="Palatino Linotype" w:cs="Times New Roman"/>
          <w:i/>
          <w:sz w:val="22"/>
          <w:szCs w:val="22"/>
        </w:rPr>
        <w:t>Art – Action and Participation</w:t>
      </w:r>
      <w:r w:rsidRPr="004F6162">
        <w:rPr>
          <w:rFonts w:ascii="Palatino Linotype" w:hAnsi="Palatino Linotype" w:cs="Times New Roman"/>
          <w:sz w:val="22"/>
          <w:szCs w:val="22"/>
        </w:rPr>
        <w:t xml:space="preserve"> was processual and participatory. </w:t>
      </w:r>
      <w:r>
        <w:rPr>
          <w:rFonts w:ascii="Palatino Linotype" w:hAnsi="Palatino Linotype" w:cs="Times New Roman"/>
          <w:sz w:val="22"/>
          <w:szCs w:val="22"/>
        </w:rPr>
        <w:t xml:space="preserve"> </w:t>
      </w:r>
      <w:r w:rsidRPr="004F6162">
        <w:rPr>
          <w:rFonts w:ascii="Palatino Linotype" w:hAnsi="Palatino Linotype" w:cs="Times New Roman"/>
          <w:sz w:val="22"/>
          <w:szCs w:val="22"/>
        </w:rPr>
        <w:t xml:space="preserve">It was often intended to produce a sensory awareness of the environment, but also in its combination of technical innovation and play typified a kind of technological optimism absent in </w:t>
      </w:r>
      <w:r w:rsidRPr="004F6162">
        <w:rPr>
          <w:rFonts w:ascii="Palatino Linotype" w:hAnsi="Palatino Linotype" w:cs="Times New Roman"/>
          <w:i/>
          <w:sz w:val="22"/>
          <w:szCs w:val="22"/>
        </w:rPr>
        <w:t>Chakras</w:t>
      </w:r>
      <w:r w:rsidRPr="004F6162">
        <w:rPr>
          <w:rFonts w:ascii="Palatino Linotype" w:hAnsi="Palatino Linotype" w:cs="Times New Roman"/>
          <w:sz w:val="22"/>
          <w:szCs w:val="22"/>
        </w:rPr>
        <w:t xml:space="preserve">.  </w:t>
      </w:r>
    </w:p>
    <w:p w14:paraId="618897B8" w14:textId="77777777" w:rsidR="004F6162" w:rsidRPr="004F6162" w:rsidRDefault="004F6162" w:rsidP="004F6162">
      <w:pPr>
        <w:spacing w:line="480" w:lineRule="auto"/>
        <w:ind w:firstLine="720"/>
        <w:rPr>
          <w:rFonts w:ascii="Palatino Linotype" w:hAnsi="Palatino Linotype" w:cs="Times New Roman"/>
          <w:sz w:val="22"/>
          <w:szCs w:val="22"/>
        </w:rPr>
      </w:pPr>
      <w:r w:rsidRPr="004F6162">
        <w:rPr>
          <w:rFonts w:ascii="Palatino Linotype" w:hAnsi="Palatino Linotype" w:cs="Times New Roman"/>
          <w:sz w:val="22"/>
          <w:szCs w:val="22"/>
        </w:rPr>
        <w:t>Popper discussed some of the theoretical resources for this tendency, ranging from Johan Huizinga to Herbert Marcuse, but the social and political meaning of art as a form of play may be traced back to Friedrich Schiller, and to the promise of reconciling art and life through the free play of the aesthetic.</w:t>
      </w:r>
      <w:r w:rsidRPr="004F6162">
        <w:rPr>
          <w:rStyle w:val="FootnoteReference"/>
          <w:rFonts w:ascii="Palatino Linotype" w:hAnsi="Palatino Linotype" w:cs="Times New Roman"/>
          <w:sz w:val="22"/>
          <w:szCs w:val="22"/>
        </w:rPr>
        <w:footnoteReference w:id="10"/>
      </w:r>
      <w:r w:rsidRPr="004F6162">
        <w:rPr>
          <w:rFonts w:ascii="Palatino Linotype" w:hAnsi="Palatino Linotype" w:cs="Times New Roman"/>
          <w:sz w:val="22"/>
          <w:szCs w:val="22"/>
        </w:rPr>
        <w:t xml:space="preserve"> </w:t>
      </w:r>
      <w:r>
        <w:rPr>
          <w:rFonts w:ascii="Palatino Linotype" w:hAnsi="Palatino Linotype" w:cs="Times New Roman"/>
          <w:sz w:val="22"/>
          <w:szCs w:val="22"/>
        </w:rPr>
        <w:t xml:space="preserve"> </w:t>
      </w:r>
      <w:r w:rsidRPr="004F6162">
        <w:rPr>
          <w:rFonts w:ascii="Palatino Linotype" w:hAnsi="Palatino Linotype" w:cs="Times New Roman"/>
          <w:sz w:val="22"/>
          <w:szCs w:val="22"/>
        </w:rPr>
        <w:t xml:space="preserve">One could argue that play and participation in art in the 1960s took on its political meaning as an expression of this promise. </w:t>
      </w:r>
      <w:r>
        <w:rPr>
          <w:rFonts w:ascii="Palatino Linotype" w:hAnsi="Palatino Linotype" w:cs="Times New Roman"/>
          <w:sz w:val="22"/>
          <w:szCs w:val="22"/>
        </w:rPr>
        <w:t xml:space="preserve"> </w:t>
      </w:r>
      <w:r w:rsidRPr="004F6162">
        <w:rPr>
          <w:rFonts w:ascii="Palatino Linotype" w:hAnsi="Palatino Linotype" w:cs="Times New Roman"/>
          <w:sz w:val="22"/>
          <w:szCs w:val="22"/>
        </w:rPr>
        <w:t xml:space="preserve">The institutional art world was often identified with the repressive structures of work and state, and so artists often attempted to address a wider community.  Araeen certainly saw the participatory aspect of works such as </w:t>
      </w:r>
      <w:r w:rsidRPr="004F6162">
        <w:rPr>
          <w:rFonts w:ascii="Palatino Linotype" w:hAnsi="Palatino Linotype" w:cs="Times New Roman"/>
          <w:i/>
          <w:sz w:val="22"/>
          <w:szCs w:val="22"/>
        </w:rPr>
        <w:t>Chakras</w:t>
      </w:r>
      <w:r w:rsidRPr="004F6162">
        <w:rPr>
          <w:rFonts w:ascii="Palatino Linotype" w:hAnsi="Palatino Linotype" w:cs="Times New Roman"/>
          <w:sz w:val="22"/>
          <w:szCs w:val="22"/>
        </w:rPr>
        <w:t xml:space="preserve"> as in opposition to a separation between the artist and public.</w:t>
      </w:r>
      <w:r>
        <w:rPr>
          <w:rFonts w:ascii="Palatino Linotype" w:hAnsi="Palatino Linotype" w:cs="Times New Roman"/>
          <w:sz w:val="22"/>
          <w:szCs w:val="22"/>
        </w:rPr>
        <w:t xml:space="preserve"> </w:t>
      </w:r>
      <w:r w:rsidRPr="004F6162">
        <w:rPr>
          <w:rFonts w:ascii="Palatino Linotype" w:hAnsi="Palatino Linotype" w:cs="Times New Roman"/>
          <w:sz w:val="22"/>
          <w:szCs w:val="22"/>
        </w:rPr>
        <w:t xml:space="preserve"> In a statement from 1970 published in Popper’s book, Araeen comments on this as being a consequence of the artist’s relationship to the ‘elitist-cultural tradition of the past’.</w:t>
      </w:r>
      <w:r w:rsidRPr="004F6162">
        <w:rPr>
          <w:rStyle w:val="FootnoteReference"/>
          <w:rFonts w:ascii="Palatino Linotype" w:hAnsi="Palatino Linotype" w:cs="Times New Roman"/>
          <w:sz w:val="22"/>
          <w:szCs w:val="22"/>
        </w:rPr>
        <w:footnoteReference w:id="11"/>
      </w:r>
      <w:r w:rsidRPr="004F6162">
        <w:rPr>
          <w:rFonts w:ascii="Palatino Linotype" w:hAnsi="Palatino Linotype" w:cs="Times New Roman"/>
          <w:sz w:val="22"/>
          <w:szCs w:val="22"/>
        </w:rPr>
        <w:t xml:space="preserve"> Photographs of </w:t>
      </w:r>
      <w:r w:rsidRPr="004F6162">
        <w:rPr>
          <w:rFonts w:ascii="Palatino Linotype" w:hAnsi="Palatino Linotype" w:cs="Times New Roman"/>
          <w:i/>
          <w:sz w:val="22"/>
          <w:szCs w:val="22"/>
        </w:rPr>
        <w:t>Canalevent</w:t>
      </w:r>
      <w:r w:rsidRPr="004F6162">
        <w:rPr>
          <w:rFonts w:ascii="Palatino Linotype" w:hAnsi="Palatino Linotype" w:cs="Times New Roman"/>
          <w:sz w:val="22"/>
          <w:szCs w:val="22"/>
        </w:rPr>
        <w:t xml:space="preserve">, part of a community arts festival in 1970, show participants, including children, throwing discs – this time made of polystyrene – into the Grand Union Canal in West London. This event also gave Araeen the idea for another form of art as participatory play, </w:t>
      </w:r>
      <w:r w:rsidRPr="004F6162">
        <w:rPr>
          <w:rFonts w:ascii="Palatino Linotype" w:hAnsi="Palatino Linotype" w:cs="Times New Roman"/>
          <w:i/>
          <w:sz w:val="22"/>
          <w:szCs w:val="22"/>
        </w:rPr>
        <w:t>Waterplay</w:t>
      </w:r>
      <w:r w:rsidRPr="004F6162">
        <w:rPr>
          <w:rFonts w:ascii="Palatino Linotype" w:hAnsi="Palatino Linotype" w:cs="Times New Roman"/>
          <w:sz w:val="22"/>
          <w:szCs w:val="22"/>
        </w:rPr>
        <w:t xml:space="preserve"> (1971) (later given the title </w:t>
      </w:r>
      <w:r w:rsidRPr="004F6162">
        <w:rPr>
          <w:rFonts w:ascii="Palatino Linotype" w:hAnsi="Palatino Linotype" w:cs="Times New Roman"/>
          <w:i/>
          <w:sz w:val="22"/>
          <w:szCs w:val="22"/>
        </w:rPr>
        <w:t>Discosailing</w:t>
      </w:r>
      <w:r w:rsidRPr="004F6162">
        <w:rPr>
          <w:rFonts w:ascii="Palatino Linotype" w:hAnsi="Palatino Linotype" w:cs="Times New Roman"/>
          <w:sz w:val="22"/>
          <w:szCs w:val="22"/>
        </w:rPr>
        <w:t>), after seeing two people floating on the canal on a large piece of polystyrene. This work was not realized then, but it involved participants directly by having them float, and sail, on the discs.</w:t>
      </w:r>
      <w:r w:rsidRPr="004F6162">
        <w:rPr>
          <w:rStyle w:val="FootnoteReference"/>
          <w:rFonts w:ascii="Palatino Linotype" w:hAnsi="Palatino Linotype" w:cs="Times New Roman"/>
          <w:sz w:val="22"/>
          <w:szCs w:val="22"/>
        </w:rPr>
        <w:footnoteReference w:id="12"/>
      </w:r>
      <w:r w:rsidRPr="004F6162">
        <w:rPr>
          <w:rFonts w:ascii="Palatino Linotype" w:hAnsi="Palatino Linotype" w:cs="Times New Roman"/>
          <w:sz w:val="22"/>
          <w:szCs w:val="22"/>
        </w:rPr>
        <w:t xml:space="preserve"> Although Araeen’s work from this time could take up some of the democratic and utopian meanings associated with the artistic explorations of play and participation surveyed by Popper, this reading is complicated by the proviso that the universalized participatory subject might be seen as an ideological illusion given certain subsequent variations of </w:t>
      </w:r>
      <w:r w:rsidRPr="004F6162">
        <w:rPr>
          <w:rFonts w:ascii="Palatino Linotype" w:hAnsi="Palatino Linotype" w:cs="Times New Roman"/>
          <w:i/>
          <w:sz w:val="22"/>
          <w:szCs w:val="22"/>
        </w:rPr>
        <w:t>Chakras</w:t>
      </w:r>
      <w:r w:rsidRPr="004F6162">
        <w:rPr>
          <w:rFonts w:ascii="Palatino Linotype" w:hAnsi="Palatino Linotype" w:cs="Times New Roman"/>
          <w:sz w:val="22"/>
          <w:szCs w:val="22"/>
        </w:rPr>
        <w:t xml:space="preserve"> and Araeen’s later trajectory.</w:t>
      </w:r>
      <w:r w:rsidRPr="004F6162">
        <w:rPr>
          <w:rStyle w:val="FootnoteReference"/>
          <w:rFonts w:ascii="Palatino Linotype" w:hAnsi="Palatino Linotype" w:cs="Times New Roman"/>
          <w:sz w:val="22"/>
          <w:szCs w:val="22"/>
        </w:rPr>
        <w:footnoteReference w:id="13"/>
      </w:r>
    </w:p>
    <w:p w14:paraId="5031679A" w14:textId="77777777" w:rsidR="004F6162" w:rsidRPr="004F6162" w:rsidRDefault="004F6162" w:rsidP="004F6162">
      <w:pPr>
        <w:spacing w:line="480" w:lineRule="auto"/>
        <w:ind w:firstLine="720"/>
        <w:rPr>
          <w:rFonts w:ascii="Palatino Linotype" w:hAnsi="Palatino Linotype" w:cs="Times New Roman"/>
          <w:sz w:val="22"/>
          <w:szCs w:val="22"/>
        </w:rPr>
      </w:pPr>
      <w:r w:rsidRPr="004F6162">
        <w:rPr>
          <w:rFonts w:ascii="Palatino Linotype" w:hAnsi="Palatino Linotype" w:cs="Times New Roman"/>
          <w:sz w:val="22"/>
          <w:szCs w:val="22"/>
        </w:rPr>
        <w:t xml:space="preserve">While </w:t>
      </w:r>
      <w:r w:rsidRPr="004F6162">
        <w:rPr>
          <w:rFonts w:ascii="Palatino Linotype" w:hAnsi="Palatino Linotype" w:cs="Times New Roman"/>
          <w:i/>
          <w:sz w:val="22"/>
          <w:szCs w:val="22"/>
        </w:rPr>
        <w:t>Chakras</w:t>
      </w:r>
      <w:r w:rsidRPr="004F6162">
        <w:rPr>
          <w:rFonts w:ascii="Palatino Linotype" w:hAnsi="Palatino Linotype" w:cs="Times New Roman"/>
          <w:sz w:val="22"/>
          <w:szCs w:val="22"/>
        </w:rPr>
        <w:t xml:space="preserve"> begins with actions of participants, the patterns it produces in the water are determined by natural or material agency. </w:t>
      </w:r>
      <w:r>
        <w:rPr>
          <w:rFonts w:ascii="Palatino Linotype" w:hAnsi="Palatino Linotype" w:cs="Times New Roman"/>
          <w:sz w:val="22"/>
          <w:szCs w:val="22"/>
        </w:rPr>
        <w:t xml:space="preserve"> </w:t>
      </w:r>
      <w:r w:rsidRPr="004F6162">
        <w:rPr>
          <w:rFonts w:ascii="Palatino Linotype" w:hAnsi="Palatino Linotype" w:cs="Times New Roman"/>
          <w:sz w:val="22"/>
          <w:szCs w:val="22"/>
        </w:rPr>
        <w:t xml:space="preserve">Whereas the earlier work, </w:t>
      </w:r>
      <w:r w:rsidRPr="004F6162">
        <w:rPr>
          <w:rFonts w:ascii="Palatino Linotype" w:hAnsi="Palatino Linotype" w:cs="Times New Roman"/>
          <w:i/>
          <w:sz w:val="22"/>
          <w:szCs w:val="22"/>
        </w:rPr>
        <w:t>Bio-structural Play</w:t>
      </w:r>
      <w:r w:rsidRPr="004F6162">
        <w:rPr>
          <w:rFonts w:ascii="Palatino Linotype" w:hAnsi="Palatino Linotype" w:cs="Times New Roman"/>
          <w:sz w:val="22"/>
          <w:szCs w:val="22"/>
        </w:rPr>
        <w:t xml:space="preserve">, could be related to the idea of play thematized in an exhibition such as </w:t>
      </w:r>
      <w:r w:rsidRPr="004F6162">
        <w:rPr>
          <w:rFonts w:ascii="Palatino Linotype" w:hAnsi="Palatino Linotype" w:cs="Times New Roman"/>
          <w:i/>
          <w:sz w:val="22"/>
          <w:szCs w:val="22"/>
        </w:rPr>
        <w:t>Play Orbit</w:t>
      </w:r>
      <w:r w:rsidRPr="004F6162">
        <w:rPr>
          <w:rFonts w:ascii="Palatino Linotype" w:hAnsi="Palatino Linotype" w:cs="Times New Roman"/>
          <w:sz w:val="22"/>
          <w:szCs w:val="22"/>
        </w:rPr>
        <w:t xml:space="preserve">, the material determination of </w:t>
      </w:r>
      <w:r w:rsidRPr="004F6162">
        <w:rPr>
          <w:rFonts w:ascii="Palatino Linotype" w:hAnsi="Palatino Linotype" w:cs="Times New Roman"/>
          <w:i/>
          <w:sz w:val="22"/>
          <w:szCs w:val="22"/>
        </w:rPr>
        <w:t>Chakras</w:t>
      </w:r>
      <w:r w:rsidRPr="004F6162">
        <w:rPr>
          <w:rFonts w:ascii="Palatino Linotype" w:hAnsi="Palatino Linotype" w:cs="Times New Roman"/>
          <w:sz w:val="22"/>
          <w:szCs w:val="22"/>
        </w:rPr>
        <w:t xml:space="preserve"> brings it closer to the concerns of another exhibition staged at the ICA:  the London showing in September 1969 of </w:t>
      </w:r>
      <w:r w:rsidRPr="004F6162">
        <w:rPr>
          <w:rFonts w:ascii="Palatino Linotype" w:hAnsi="Palatino Linotype" w:cs="Times New Roman"/>
          <w:i/>
          <w:sz w:val="22"/>
          <w:szCs w:val="22"/>
        </w:rPr>
        <w:t>When Attitudes Become Form</w:t>
      </w:r>
      <w:r w:rsidRPr="004F6162">
        <w:rPr>
          <w:rFonts w:ascii="Palatino Linotype" w:hAnsi="Palatino Linotype" w:cs="Times New Roman"/>
          <w:sz w:val="22"/>
          <w:szCs w:val="22"/>
        </w:rPr>
        <w:t xml:space="preserve"> following its appearances at the Bern Kunsthalle and the Museum Haus Lange in Krefeld. </w:t>
      </w:r>
      <w:r>
        <w:rPr>
          <w:rFonts w:ascii="Palatino Linotype" w:hAnsi="Palatino Linotype" w:cs="Times New Roman"/>
          <w:sz w:val="22"/>
          <w:szCs w:val="22"/>
        </w:rPr>
        <w:t xml:space="preserve"> </w:t>
      </w:r>
      <w:r w:rsidRPr="004F6162">
        <w:rPr>
          <w:rFonts w:ascii="Palatino Linotype" w:hAnsi="Palatino Linotype" w:cs="Times New Roman"/>
          <w:sz w:val="22"/>
          <w:szCs w:val="22"/>
        </w:rPr>
        <w:t xml:space="preserve">This exhibition brought together a diverse range of recent work concerned with material process, site, and information – from American ‘Anti Form’ to Italian Arte Povera. </w:t>
      </w:r>
      <w:r>
        <w:rPr>
          <w:rFonts w:ascii="Palatino Linotype" w:hAnsi="Palatino Linotype" w:cs="Times New Roman"/>
          <w:sz w:val="22"/>
          <w:szCs w:val="22"/>
        </w:rPr>
        <w:t xml:space="preserve"> </w:t>
      </w:r>
      <w:r w:rsidRPr="004F6162">
        <w:rPr>
          <w:rFonts w:ascii="Palatino Linotype" w:hAnsi="Palatino Linotype" w:cs="Times New Roman"/>
          <w:sz w:val="22"/>
          <w:szCs w:val="22"/>
        </w:rPr>
        <w:t xml:space="preserve">The patterning of the elements in </w:t>
      </w:r>
      <w:r w:rsidRPr="004F6162">
        <w:rPr>
          <w:rFonts w:ascii="Palatino Linotype" w:hAnsi="Palatino Linotype" w:cs="Times New Roman"/>
          <w:i/>
          <w:sz w:val="22"/>
          <w:szCs w:val="22"/>
        </w:rPr>
        <w:t>Chakras</w:t>
      </w:r>
      <w:r w:rsidRPr="004F6162">
        <w:rPr>
          <w:rFonts w:ascii="Palatino Linotype" w:hAnsi="Palatino Linotype" w:cs="Times New Roman"/>
          <w:sz w:val="22"/>
          <w:szCs w:val="22"/>
        </w:rPr>
        <w:t xml:space="preserve"> identify it as a process piece, since its forming is, like the other materials floating in the docks, in a state of continual gathering and dispersal caused by the material actions of water and wind. </w:t>
      </w:r>
      <w:r>
        <w:rPr>
          <w:rFonts w:ascii="Palatino Linotype" w:hAnsi="Palatino Linotype" w:cs="Times New Roman"/>
          <w:sz w:val="22"/>
          <w:szCs w:val="22"/>
        </w:rPr>
        <w:t xml:space="preserve"> </w:t>
      </w:r>
      <w:r w:rsidRPr="004F6162">
        <w:rPr>
          <w:rFonts w:ascii="Palatino Linotype" w:hAnsi="Palatino Linotype" w:cs="Times New Roman"/>
          <w:i/>
          <w:sz w:val="22"/>
          <w:szCs w:val="22"/>
        </w:rPr>
        <w:t>Chakras</w:t>
      </w:r>
      <w:r w:rsidRPr="004F6162">
        <w:rPr>
          <w:rFonts w:ascii="Palatino Linotype" w:hAnsi="Palatino Linotype" w:cs="Times New Roman"/>
          <w:sz w:val="22"/>
          <w:szCs w:val="22"/>
        </w:rPr>
        <w:t xml:space="preserve"> is not, however, concerned with a materiality </w:t>
      </w:r>
      <w:r w:rsidRPr="004F6162">
        <w:rPr>
          <w:rFonts w:ascii="Palatino Linotype" w:hAnsi="Palatino Linotype" w:cs="Times New Roman"/>
          <w:i/>
          <w:sz w:val="22"/>
          <w:szCs w:val="22"/>
        </w:rPr>
        <w:t>per se</w:t>
      </w:r>
      <w:r w:rsidRPr="004F6162">
        <w:rPr>
          <w:rFonts w:ascii="Palatino Linotype" w:hAnsi="Palatino Linotype" w:cs="Times New Roman"/>
          <w:sz w:val="22"/>
          <w:szCs w:val="22"/>
        </w:rPr>
        <w:t xml:space="preserve"> in the same way as the work in </w:t>
      </w:r>
      <w:r w:rsidRPr="004F6162">
        <w:rPr>
          <w:rFonts w:ascii="Palatino Linotype" w:hAnsi="Palatino Linotype" w:cs="Times New Roman"/>
          <w:i/>
          <w:sz w:val="22"/>
          <w:szCs w:val="22"/>
        </w:rPr>
        <w:t>When Attitudes Become Form</w:t>
      </w:r>
      <w:r w:rsidRPr="004F6162">
        <w:rPr>
          <w:rFonts w:ascii="Palatino Linotype" w:hAnsi="Palatino Linotype" w:cs="Times New Roman"/>
          <w:sz w:val="22"/>
          <w:szCs w:val="22"/>
        </w:rPr>
        <w:t xml:space="preserve">. </w:t>
      </w:r>
      <w:r>
        <w:rPr>
          <w:rFonts w:ascii="Palatino Linotype" w:hAnsi="Palatino Linotype" w:cs="Times New Roman"/>
          <w:sz w:val="22"/>
          <w:szCs w:val="22"/>
        </w:rPr>
        <w:t xml:space="preserve"> </w:t>
      </w:r>
      <w:r w:rsidRPr="004F6162">
        <w:rPr>
          <w:rFonts w:ascii="Palatino Linotype" w:hAnsi="Palatino Linotype" w:cs="Times New Roman"/>
          <w:sz w:val="22"/>
          <w:szCs w:val="22"/>
        </w:rPr>
        <w:t xml:space="preserve">The immediate materials of </w:t>
      </w:r>
      <w:r w:rsidRPr="004F6162">
        <w:rPr>
          <w:rFonts w:ascii="Palatino Linotype" w:hAnsi="Palatino Linotype" w:cs="Times New Roman"/>
          <w:i/>
          <w:sz w:val="22"/>
          <w:szCs w:val="22"/>
        </w:rPr>
        <w:t>Chakras</w:t>
      </w:r>
      <w:r w:rsidRPr="004F6162">
        <w:rPr>
          <w:rFonts w:ascii="Palatino Linotype" w:hAnsi="Palatino Linotype" w:cs="Times New Roman"/>
          <w:sz w:val="22"/>
          <w:szCs w:val="22"/>
        </w:rPr>
        <w:t>, plywood and paint, were shaped according to a particular form, a circle, and the identical shape and number of these circles constitutes a more general form.</w:t>
      </w:r>
      <w:r>
        <w:rPr>
          <w:rFonts w:ascii="Palatino Linotype" w:hAnsi="Palatino Linotype" w:cs="Times New Roman"/>
          <w:sz w:val="22"/>
          <w:szCs w:val="22"/>
        </w:rPr>
        <w:t xml:space="preserve"> </w:t>
      </w:r>
      <w:r w:rsidRPr="004F6162">
        <w:rPr>
          <w:rFonts w:ascii="Palatino Linotype" w:hAnsi="Palatino Linotype" w:cs="Times New Roman"/>
          <w:sz w:val="22"/>
          <w:szCs w:val="22"/>
        </w:rPr>
        <w:t xml:space="preserve"> These circular elements retain an intentionality orientated to form and meaning – that is, a figural dimension. (The title of the work, which employs an esoteric term found in Indian religions, also contributes to this dimension.) </w:t>
      </w:r>
      <w:r>
        <w:rPr>
          <w:rFonts w:ascii="Palatino Linotype" w:hAnsi="Palatino Linotype" w:cs="Times New Roman"/>
          <w:sz w:val="22"/>
          <w:szCs w:val="22"/>
        </w:rPr>
        <w:t xml:space="preserve"> </w:t>
      </w:r>
      <w:r w:rsidRPr="004F6162">
        <w:rPr>
          <w:rFonts w:ascii="Palatino Linotype" w:hAnsi="Palatino Linotype" w:cs="Times New Roman"/>
          <w:sz w:val="22"/>
          <w:szCs w:val="22"/>
        </w:rPr>
        <w:t xml:space="preserve">At the same time that </w:t>
      </w:r>
      <w:r w:rsidRPr="004F6162">
        <w:rPr>
          <w:rFonts w:ascii="Palatino Linotype" w:hAnsi="Palatino Linotype" w:cs="Times New Roman"/>
          <w:i/>
          <w:sz w:val="22"/>
          <w:szCs w:val="22"/>
        </w:rPr>
        <w:t>Chakras</w:t>
      </w:r>
      <w:r w:rsidRPr="004F6162">
        <w:rPr>
          <w:rFonts w:ascii="Palatino Linotype" w:hAnsi="Palatino Linotype" w:cs="Times New Roman"/>
          <w:sz w:val="22"/>
          <w:szCs w:val="22"/>
        </w:rPr>
        <w:t xml:space="preserve"> is shaped by its environment, it also shapes this environment by referring to it. </w:t>
      </w:r>
      <w:r>
        <w:rPr>
          <w:rFonts w:ascii="Palatino Linotype" w:hAnsi="Palatino Linotype" w:cs="Times New Roman"/>
          <w:sz w:val="22"/>
          <w:szCs w:val="22"/>
        </w:rPr>
        <w:t xml:space="preserve"> </w:t>
      </w:r>
      <w:r w:rsidRPr="004F6162">
        <w:rPr>
          <w:rFonts w:ascii="Palatino Linotype" w:hAnsi="Palatino Linotype" w:cs="Times New Roman"/>
          <w:sz w:val="22"/>
          <w:szCs w:val="22"/>
        </w:rPr>
        <w:t>The work thus intends relationships to its environment, St. Katharine Docks that as part of London’s industrial infrastructure is itself subject to processes of history.</w:t>
      </w:r>
      <w:r w:rsidRPr="004F6162">
        <w:rPr>
          <w:rStyle w:val="FootnoteReference"/>
          <w:rFonts w:ascii="Palatino Linotype" w:hAnsi="Palatino Linotype" w:cs="Times New Roman"/>
          <w:sz w:val="22"/>
          <w:szCs w:val="22"/>
        </w:rPr>
        <w:footnoteReference w:id="14"/>
      </w:r>
      <w:r w:rsidRPr="004F6162">
        <w:rPr>
          <w:rFonts w:ascii="Palatino Linotype" w:hAnsi="Palatino Linotype" w:cs="Times New Roman"/>
          <w:sz w:val="22"/>
          <w:szCs w:val="22"/>
        </w:rPr>
        <w:t xml:space="preserve">  </w:t>
      </w:r>
    </w:p>
    <w:p w14:paraId="12605F28" w14:textId="77777777" w:rsidR="004F6162" w:rsidRDefault="004F6162" w:rsidP="004F6162">
      <w:pPr>
        <w:spacing w:line="480" w:lineRule="auto"/>
        <w:ind w:firstLine="720"/>
        <w:rPr>
          <w:rFonts w:ascii="Palatino Linotype" w:hAnsi="Palatino Linotype" w:cs="Times New Roman"/>
          <w:sz w:val="22"/>
          <w:szCs w:val="22"/>
        </w:rPr>
      </w:pPr>
      <w:r w:rsidRPr="004F6162">
        <w:rPr>
          <w:rFonts w:ascii="Palatino Linotype" w:hAnsi="Palatino Linotype" w:cs="Times New Roman"/>
          <w:sz w:val="22"/>
          <w:szCs w:val="22"/>
        </w:rPr>
        <w:t xml:space="preserve">When seen according to the registers of material determination and reference, </w:t>
      </w:r>
      <w:r w:rsidRPr="004F6162">
        <w:rPr>
          <w:rFonts w:ascii="Palatino Linotype" w:hAnsi="Palatino Linotype" w:cs="Times New Roman"/>
          <w:i/>
          <w:sz w:val="22"/>
          <w:szCs w:val="22"/>
        </w:rPr>
        <w:t>Chakras</w:t>
      </w:r>
      <w:r w:rsidRPr="004F6162">
        <w:rPr>
          <w:rFonts w:ascii="Palatino Linotype" w:hAnsi="Palatino Linotype" w:cs="Times New Roman"/>
          <w:sz w:val="22"/>
          <w:szCs w:val="22"/>
        </w:rPr>
        <w:t xml:space="preserve"> appears less concerned with the utopian promise of play and participation than with the actual locations in which its versions are enacted – the relations produced between the work and the social and political realities in which it is immersed. </w:t>
      </w:r>
      <w:r>
        <w:rPr>
          <w:rFonts w:ascii="Palatino Linotype" w:hAnsi="Palatino Linotype" w:cs="Times New Roman"/>
          <w:sz w:val="22"/>
          <w:szCs w:val="22"/>
        </w:rPr>
        <w:t xml:space="preserve"> </w:t>
      </w:r>
      <w:r w:rsidRPr="004F6162">
        <w:rPr>
          <w:rFonts w:ascii="Palatino Linotype" w:hAnsi="Palatino Linotype" w:cs="Times New Roman"/>
          <w:sz w:val="22"/>
          <w:szCs w:val="22"/>
        </w:rPr>
        <w:t xml:space="preserve">For instance, later in 1970 with </w:t>
      </w:r>
      <w:r w:rsidRPr="004F6162">
        <w:rPr>
          <w:rFonts w:ascii="Palatino Linotype" w:hAnsi="Palatino Linotype" w:cs="Times New Roman"/>
          <w:i/>
          <w:sz w:val="22"/>
          <w:szCs w:val="22"/>
        </w:rPr>
        <w:t>Discs in River Seine</w:t>
      </w:r>
      <w:r w:rsidRPr="004F6162">
        <w:rPr>
          <w:rFonts w:ascii="Palatino Linotype" w:hAnsi="Palatino Linotype" w:cs="Times New Roman"/>
          <w:sz w:val="22"/>
          <w:szCs w:val="22"/>
        </w:rPr>
        <w:t xml:space="preserve"> in Paris, white polystyrene discs are released at the foot of some steps next to the Petit Pont by the Notre-Dame Cathedral. </w:t>
      </w:r>
      <w:r>
        <w:rPr>
          <w:rFonts w:ascii="Palatino Linotype" w:hAnsi="Palatino Linotype" w:cs="Times New Roman"/>
          <w:sz w:val="22"/>
          <w:szCs w:val="22"/>
        </w:rPr>
        <w:t xml:space="preserve"> </w:t>
      </w:r>
      <w:r w:rsidRPr="004F6162">
        <w:rPr>
          <w:rFonts w:ascii="Palatino Linotype" w:hAnsi="Palatino Linotype" w:cs="Times New Roman"/>
          <w:sz w:val="22"/>
          <w:szCs w:val="22"/>
        </w:rPr>
        <w:t xml:space="preserve">In a photograph that documents the event, taken from the other side of the Seine, the figures involved in the action are completely dominated by the size of the cathedral, but more significantly by the Préfecture de Police located immediately next to the bridge where they stand. </w:t>
      </w:r>
      <w:r>
        <w:rPr>
          <w:rFonts w:ascii="Palatino Linotype" w:hAnsi="Palatino Linotype" w:cs="Times New Roman"/>
          <w:sz w:val="22"/>
          <w:szCs w:val="22"/>
        </w:rPr>
        <w:t xml:space="preserve"> </w:t>
      </w:r>
      <w:r w:rsidRPr="004F6162">
        <w:rPr>
          <w:rFonts w:ascii="Palatino Linotype" w:hAnsi="Palatino Linotype" w:cs="Times New Roman"/>
          <w:sz w:val="22"/>
          <w:szCs w:val="22"/>
        </w:rPr>
        <w:t>This location must have been meaningful, given Araeen’s statement from 1970 relating to this work:</w:t>
      </w:r>
    </w:p>
    <w:p w14:paraId="162F3DB4" w14:textId="77777777" w:rsidR="004F6162" w:rsidRPr="004F6162" w:rsidRDefault="004F6162" w:rsidP="004F6162">
      <w:pPr>
        <w:spacing w:line="480" w:lineRule="auto"/>
        <w:ind w:firstLine="720"/>
        <w:rPr>
          <w:rFonts w:ascii="Palatino Linotype" w:hAnsi="Palatino Linotype" w:cs="Times New Roman"/>
          <w:sz w:val="22"/>
          <w:szCs w:val="22"/>
        </w:rPr>
      </w:pPr>
    </w:p>
    <w:p w14:paraId="2D5ED066" w14:textId="77777777" w:rsidR="004F6162" w:rsidRDefault="004F6162" w:rsidP="004F6162">
      <w:pPr>
        <w:spacing w:line="480" w:lineRule="auto"/>
        <w:ind w:left="720"/>
        <w:rPr>
          <w:rFonts w:ascii="Palatino Linotype" w:hAnsi="Palatino Linotype" w:cs="Times New Roman"/>
          <w:sz w:val="22"/>
          <w:szCs w:val="22"/>
        </w:rPr>
      </w:pPr>
      <w:r w:rsidRPr="004F6162">
        <w:rPr>
          <w:rFonts w:ascii="Palatino Linotype" w:hAnsi="Palatino Linotype" w:cs="Times New Roman"/>
          <w:sz w:val="22"/>
          <w:szCs w:val="22"/>
        </w:rPr>
        <w:t xml:space="preserve">[I]n the circumstances of not being able to organize the event in such a way when I could have given the information to the public beforehand about my intentions (although it is not always necessary to do so), I should not have expected much more spontaneous response.  </w:t>
      </w:r>
      <w:r>
        <w:rPr>
          <w:rFonts w:ascii="Palatino Linotype" w:hAnsi="Palatino Linotype" w:cs="Times New Roman"/>
          <w:sz w:val="22"/>
          <w:szCs w:val="22"/>
        </w:rPr>
        <w:t xml:space="preserve"> </w:t>
      </w:r>
      <w:r w:rsidRPr="004F6162">
        <w:rPr>
          <w:rFonts w:ascii="Palatino Linotype" w:hAnsi="Palatino Linotype" w:cs="Times New Roman"/>
          <w:sz w:val="22"/>
          <w:szCs w:val="22"/>
        </w:rPr>
        <w:t xml:space="preserve">As a matter of fact, to some extent, it was my own apprehension of the police which prevented me from involving the public directly. … Therefore instead of throwing the discs from the bridge with the participation of the public, I myself alone went down to the river bank and started throwing/ releasing the discs into the river. </w:t>
      </w:r>
      <w:r>
        <w:rPr>
          <w:rFonts w:ascii="Palatino Linotype" w:hAnsi="Palatino Linotype" w:cs="Times New Roman"/>
          <w:sz w:val="22"/>
          <w:szCs w:val="22"/>
        </w:rPr>
        <w:t xml:space="preserve"> </w:t>
      </w:r>
      <w:r w:rsidRPr="004F6162">
        <w:rPr>
          <w:rFonts w:ascii="Palatino Linotype" w:hAnsi="Palatino Linotype" w:cs="Times New Roman"/>
          <w:sz w:val="22"/>
          <w:szCs w:val="22"/>
        </w:rPr>
        <w:t xml:space="preserve">I must say when I was doing so, some young men came down from the bridge and to my surprise asked me for the discs, which I gave them. </w:t>
      </w:r>
      <w:r>
        <w:rPr>
          <w:rFonts w:ascii="Palatino Linotype" w:hAnsi="Palatino Linotype" w:cs="Times New Roman"/>
          <w:sz w:val="22"/>
          <w:szCs w:val="22"/>
        </w:rPr>
        <w:t xml:space="preserve"> </w:t>
      </w:r>
      <w:r w:rsidRPr="004F6162">
        <w:rPr>
          <w:rFonts w:ascii="Palatino Linotype" w:hAnsi="Palatino Linotype" w:cs="Times New Roman"/>
          <w:sz w:val="22"/>
          <w:szCs w:val="22"/>
        </w:rPr>
        <w:t xml:space="preserve">Then we threw the discs together. </w:t>
      </w:r>
      <w:r>
        <w:rPr>
          <w:rFonts w:ascii="Palatino Linotype" w:hAnsi="Palatino Linotype" w:cs="Times New Roman"/>
          <w:sz w:val="22"/>
          <w:szCs w:val="22"/>
        </w:rPr>
        <w:t xml:space="preserve"> </w:t>
      </w:r>
      <w:r w:rsidRPr="004F6162">
        <w:rPr>
          <w:rFonts w:ascii="Palatino Linotype" w:hAnsi="Palatino Linotype" w:cs="Times New Roman"/>
          <w:sz w:val="22"/>
          <w:szCs w:val="22"/>
        </w:rPr>
        <w:t>You can imagine how happy I was to receive this unexpected response from the public.</w:t>
      </w:r>
      <w:r w:rsidRPr="004F6162">
        <w:rPr>
          <w:rStyle w:val="FootnoteReference"/>
          <w:rFonts w:ascii="Palatino Linotype" w:hAnsi="Palatino Linotype" w:cs="Times New Roman"/>
          <w:sz w:val="22"/>
          <w:szCs w:val="22"/>
        </w:rPr>
        <w:footnoteReference w:id="15"/>
      </w:r>
    </w:p>
    <w:p w14:paraId="296DA0C3" w14:textId="77777777" w:rsidR="004F6162" w:rsidRPr="004F6162" w:rsidRDefault="004F6162" w:rsidP="004F6162">
      <w:pPr>
        <w:spacing w:line="480" w:lineRule="auto"/>
        <w:ind w:left="720"/>
        <w:rPr>
          <w:rFonts w:ascii="Palatino Linotype" w:hAnsi="Palatino Linotype" w:cs="Times New Roman"/>
          <w:sz w:val="22"/>
          <w:szCs w:val="22"/>
        </w:rPr>
      </w:pPr>
    </w:p>
    <w:p w14:paraId="6DBD2C28" w14:textId="77777777" w:rsidR="004F6162" w:rsidRPr="004F6162" w:rsidRDefault="004F6162" w:rsidP="004F6162">
      <w:pPr>
        <w:spacing w:line="480" w:lineRule="auto"/>
        <w:rPr>
          <w:rFonts w:ascii="Palatino Linotype" w:hAnsi="Palatino Linotype" w:cs="Times New Roman"/>
          <w:sz w:val="22"/>
          <w:szCs w:val="22"/>
        </w:rPr>
      </w:pPr>
      <w:r w:rsidRPr="004F6162">
        <w:rPr>
          <w:rFonts w:ascii="Palatino Linotype" w:hAnsi="Palatino Linotype" w:cs="Times New Roman"/>
          <w:sz w:val="22"/>
          <w:szCs w:val="22"/>
        </w:rPr>
        <w:t>This work was enacted in the wider context of the ‘return to order’ following the mass action of workers and students in May and June 1968 in Paris, characterized by increased police presence, surveillance, and state repression.</w:t>
      </w:r>
      <w:r w:rsidRPr="004F6162">
        <w:rPr>
          <w:rStyle w:val="FootnoteReference"/>
          <w:rFonts w:ascii="Palatino Linotype" w:hAnsi="Palatino Linotype" w:cs="Times New Roman"/>
          <w:sz w:val="22"/>
          <w:szCs w:val="22"/>
        </w:rPr>
        <w:footnoteReference w:id="16"/>
      </w:r>
      <w:r w:rsidRPr="004F6162">
        <w:rPr>
          <w:rFonts w:ascii="Palatino Linotype" w:hAnsi="Palatino Linotype" w:cs="Times New Roman"/>
          <w:sz w:val="22"/>
          <w:szCs w:val="22"/>
        </w:rPr>
        <w:t xml:space="preserve"> </w:t>
      </w:r>
      <w:r>
        <w:rPr>
          <w:rFonts w:ascii="Palatino Linotype" w:hAnsi="Palatino Linotype" w:cs="Times New Roman"/>
          <w:sz w:val="22"/>
          <w:szCs w:val="22"/>
        </w:rPr>
        <w:t xml:space="preserve"> </w:t>
      </w:r>
      <w:r w:rsidRPr="004F6162">
        <w:rPr>
          <w:rFonts w:ascii="Palatino Linotype" w:hAnsi="Palatino Linotype" w:cs="Times New Roman"/>
          <w:sz w:val="22"/>
          <w:szCs w:val="22"/>
        </w:rPr>
        <w:t>The unauthorized nature of Araeen’s event necessitated the spontaneity of the participation he described, and thus registers the real limits placed on it.</w:t>
      </w:r>
      <w:r>
        <w:rPr>
          <w:rFonts w:ascii="Palatino Linotype" w:hAnsi="Palatino Linotype" w:cs="Times New Roman"/>
          <w:sz w:val="22"/>
          <w:szCs w:val="22"/>
        </w:rPr>
        <w:t xml:space="preserve"> </w:t>
      </w:r>
    </w:p>
    <w:p w14:paraId="0D53FA23" w14:textId="77777777" w:rsidR="004F6162" w:rsidRPr="004F6162" w:rsidRDefault="004F6162" w:rsidP="004F6162">
      <w:pPr>
        <w:spacing w:line="480" w:lineRule="auto"/>
        <w:ind w:firstLine="720"/>
        <w:rPr>
          <w:rFonts w:ascii="Palatino Linotype" w:hAnsi="Palatino Linotype" w:cs="Times New Roman"/>
          <w:sz w:val="22"/>
          <w:szCs w:val="22"/>
        </w:rPr>
      </w:pPr>
      <w:r w:rsidRPr="004F6162">
        <w:rPr>
          <w:rFonts w:ascii="Palatino Linotype" w:hAnsi="Palatino Linotype" w:cs="Times New Roman"/>
          <w:sz w:val="22"/>
          <w:szCs w:val="22"/>
        </w:rPr>
        <w:t xml:space="preserve">In 1974, writing in relation to </w:t>
      </w:r>
      <w:r w:rsidRPr="004F6162">
        <w:rPr>
          <w:rFonts w:ascii="Palatino Linotype" w:hAnsi="Palatino Linotype" w:cs="Times New Roman"/>
          <w:i/>
          <w:sz w:val="22"/>
          <w:szCs w:val="22"/>
        </w:rPr>
        <w:t xml:space="preserve">Chakras – </w:t>
      </w:r>
      <w:r w:rsidRPr="004F6162">
        <w:rPr>
          <w:rFonts w:ascii="Palatino Linotype" w:hAnsi="Palatino Linotype" w:cs="Times New Roman"/>
          <w:sz w:val="22"/>
          <w:szCs w:val="22"/>
        </w:rPr>
        <w:t xml:space="preserve">albeit a later version, </w:t>
      </w:r>
      <w:r w:rsidRPr="004F6162">
        <w:rPr>
          <w:rFonts w:ascii="Palatino Linotype" w:hAnsi="Palatino Linotype" w:cs="Times New Roman"/>
          <w:i/>
          <w:sz w:val="22"/>
          <w:szCs w:val="22"/>
        </w:rPr>
        <w:t>Discs in Jheel Park, Karachi</w:t>
      </w:r>
      <w:r w:rsidRPr="004F6162">
        <w:rPr>
          <w:rFonts w:ascii="Palatino Linotype" w:hAnsi="Palatino Linotype" w:cs="Times New Roman"/>
          <w:sz w:val="22"/>
          <w:szCs w:val="22"/>
        </w:rPr>
        <w:t xml:space="preserve"> – Araeen is much more trenchant in its distinctions between the ‘dominating class’ and people who are ‘exploit[ed]’ and ‘depriv[ed]’ of culture.</w:t>
      </w:r>
      <w:r w:rsidRPr="004F6162">
        <w:rPr>
          <w:rStyle w:val="FootnoteReference"/>
          <w:rFonts w:ascii="Palatino Linotype" w:hAnsi="Palatino Linotype" w:cs="Times New Roman"/>
          <w:sz w:val="22"/>
          <w:szCs w:val="22"/>
        </w:rPr>
        <w:footnoteReference w:id="17"/>
      </w:r>
      <w:r w:rsidRPr="004F6162">
        <w:rPr>
          <w:rFonts w:ascii="Palatino Linotype" w:hAnsi="Palatino Linotype" w:cs="Times New Roman"/>
          <w:sz w:val="22"/>
          <w:szCs w:val="22"/>
        </w:rPr>
        <w:t xml:space="preserve"> </w:t>
      </w:r>
      <w:r>
        <w:rPr>
          <w:rFonts w:ascii="Palatino Linotype" w:hAnsi="Palatino Linotype" w:cs="Times New Roman"/>
          <w:sz w:val="22"/>
          <w:szCs w:val="22"/>
        </w:rPr>
        <w:t xml:space="preserve"> </w:t>
      </w:r>
      <w:r w:rsidRPr="004F6162">
        <w:rPr>
          <w:rFonts w:ascii="Palatino Linotype" w:hAnsi="Palatino Linotype" w:cs="Times New Roman"/>
          <w:sz w:val="22"/>
          <w:szCs w:val="22"/>
        </w:rPr>
        <w:t xml:space="preserve">This statement reflects the shift in Araeen’s work towards a more politicized mode of address that begins in the 1970s with </w:t>
      </w:r>
      <w:r w:rsidRPr="004F6162">
        <w:rPr>
          <w:rFonts w:ascii="Palatino Linotype" w:hAnsi="Palatino Linotype" w:cs="Times New Roman"/>
          <w:i/>
          <w:sz w:val="22"/>
          <w:szCs w:val="22"/>
        </w:rPr>
        <w:t>For Oluwale</w:t>
      </w:r>
      <w:r w:rsidRPr="004F6162">
        <w:rPr>
          <w:rFonts w:ascii="Palatino Linotype" w:hAnsi="Palatino Linotype" w:cs="Times New Roman"/>
          <w:sz w:val="22"/>
          <w:szCs w:val="22"/>
        </w:rPr>
        <w:t xml:space="preserve"> (1971–1973).</w:t>
      </w:r>
      <w:r>
        <w:rPr>
          <w:rFonts w:ascii="Palatino Linotype" w:hAnsi="Palatino Linotype" w:cs="Times New Roman"/>
          <w:sz w:val="22"/>
          <w:szCs w:val="22"/>
        </w:rPr>
        <w:t xml:space="preserve"> </w:t>
      </w:r>
      <w:r w:rsidRPr="004F6162">
        <w:rPr>
          <w:rFonts w:ascii="Palatino Linotype" w:hAnsi="Palatino Linotype" w:cs="Times New Roman"/>
          <w:sz w:val="22"/>
          <w:szCs w:val="22"/>
        </w:rPr>
        <w:t xml:space="preserve"> Although community-orientated participation can be seen as political and oppositional, particularly in the early 1970s when the British institutional art world was firmly bourgeois in its class composition, it did not explicitly provoke an awareness of social distinctions in its public to the extent that Araeen’s later work would. </w:t>
      </w:r>
      <w:r w:rsidR="007D556F">
        <w:rPr>
          <w:rFonts w:ascii="Palatino Linotype" w:hAnsi="Palatino Linotype" w:cs="Times New Roman"/>
          <w:sz w:val="22"/>
          <w:szCs w:val="22"/>
        </w:rPr>
        <w:t xml:space="preserve"> </w:t>
      </w:r>
      <w:r w:rsidRPr="004F6162">
        <w:rPr>
          <w:rFonts w:ascii="Palatino Linotype" w:hAnsi="Palatino Linotype" w:cs="Times New Roman"/>
          <w:sz w:val="22"/>
          <w:szCs w:val="22"/>
        </w:rPr>
        <w:t xml:space="preserve">These two statements by Araeen from 1970 and 1974 amount to a critical attitude towards the tendency in which his work from the late 1960s and early 1970s was historically immersed, since the utopian promise of art as participatory play tended to ignore actual material conditions. </w:t>
      </w:r>
      <w:r w:rsidR="007D556F">
        <w:rPr>
          <w:rFonts w:ascii="Palatino Linotype" w:hAnsi="Palatino Linotype" w:cs="Times New Roman"/>
          <w:sz w:val="22"/>
          <w:szCs w:val="22"/>
        </w:rPr>
        <w:t xml:space="preserve"> </w:t>
      </w:r>
      <w:r w:rsidRPr="004F6162">
        <w:rPr>
          <w:rFonts w:ascii="Palatino Linotype" w:hAnsi="Palatino Linotype" w:cs="Times New Roman"/>
          <w:sz w:val="22"/>
          <w:szCs w:val="22"/>
        </w:rPr>
        <w:t xml:space="preserve">Araeen’s work from the late 1960s and early 1970s, although abstract in form, contains within it the possibility of both readings. </w:t>
      </w:r>
      <w:r w:rsidR="007D556F">
        <w:rPr>
          <w:rFonts w:ascii="Palatino Linotype" w:hAnsi="Palatino Linotype" w:cs="Times New Roman"/>
          <w:sz w:val="22"/>
          <w:szCs w:val="22"/>
        </w:rPr>
        <w:t xml:space="preserve"> </w:t>
      </w:r>
      <w:r w:rsidRPr="004F6162">
        <w:rPr>
          <w:rFonts w:ascii="Palatino Linotype" w:hAnsi="Palatino Linotype" w:cs="Times New Roman"/>
          <w:sz w:val="22"/>
          <w:szCs w:val="22"/>
        </w:rPr>
        <w:t xml:space="preserve">The poetic character of </w:t>
      </w:r>
      <w:r w:rsidRPr="004F6162">
        <w:rPr>
          <w:rFonts w:ascii="Palatino Linotype" w:hAnsi="Palatino Linotype" w:cs="Times New Roman"/>
          <w:i/>
          <w:sz w:val="22"/>
          <w:szCs w:val="22"/>
        </w:rPr>
        <w:t>Chakras</w:t>
      </w:r>
      <w:r w:rsidRPr="004F6162">
        <w:rPr>
          <w:rFonts w:ascii="Palatino Linotype" w:hAnsi="Palatino Linotype" w:cs="Times New Roman"/>
          <w:sz w:val="22"/>
          <w:szCs w:val="22"/>
        </w:rPr>
        <w:t xml:space="preserve">, and its historical meaning as art, lies in its state of being suspended between the incompatible positions that characterized its moment, without resolution.  </w:t>
      </w:r>
    </w:p>
    <w:p w14:paraId="69AFD113" w14:textId="77777777" w:rsidR="00CD163D" w:rsidRPr="004F6162" w:rsidRDefault="00CA6EA1" w:rsidP="004F6162">
      <w:pPr>
        <w:spacing w:line="480" w:lineRule="auto"/>
        <w:rPr>
          <w:rFonts w:ascii="Palatino Linotype" w:hAnsi="Palatino Linotype"/>
          <w:sz w:val="22"/>
          <w:szCs w:val="22"/>
        </w:rPr>
      </w:pPr>
    </w:p>
    <w:sectPr w:rsidR="00CD163D" w:rsidRPr="004F6162" w:rsidSect="00D85FDE">
      <w:footerReference w:type="even" r:id="rId6"/>
      <w:footerReference w:type="default" r:id="rId7"/>
      <w:pgSz w:w="11900" w:h="16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6244C6" w14:textId="77777777" w:rsidR="00CA6EA1" w:rsidRDefault="00CA6EA1" w:rsidP="004F6162">
      <w:r>
        <w:separator/>
      </w:r>
    </w:p>
  </w:endnote>
  <w:endnote w:type="continuationSeparator" w:id="0">
    <w:p w14:paraId="7BF8ABCA" w14:textId="77777777" w:rsidR="00CA6EA1" w:rsidRDefault="00CA6EA1" w:rsidP="004F6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Palatino Linotype">
    <w:panose1 w:val="02040502050505030304"/>
    <w:charset w:val="00"/>
    <w:family w:val="auto"/>
    <w:pitch w:val="variable"/>
    <w:sig w:usb0="E0000287" w:usb1="40000013" w:usb2="00000000" w:usb3="00000000" w:csb0="0000019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1BF50C" w14:textId="77777777" w:rsidR="002713B5" w:rsidRDefault="00CA6EA1" w:rsidP="00E13D7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3949525" w14:textId="77777777" w:rsidR="002713B5" w:rsidRDefault="00CA6EA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BFCB44" w14:textId="77777777" w:rsidR="002713B5" w:rsidRDefault="00CA6EA1" w:rsidP="00E13D7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2E5D6BB" w14:textId="77777777" w:rsidR="002713B5" w:rsidRDefault="00CA6EA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233AC7" w14:textId="77777777" w:rsidR="00CA6EA1" w:rsidRDefault="00CA6EA1" w:rsidP="004F6162">
      <w:r>
        <w:separator/>
      </w:r>
    </w:p>
  </w:footnote>
  <w:footnote w:type="continuationSeparator" w:id="0">
    <w:p w14:paraId="5F43C59A" w14:textId="77777777" w:rsidR="00CA6EA1" w:rsidRDefault="00CA6EA1" w:rsidP="004F6162">
      <w:r>
        <w:continuationSeparator/>
      </w:r>
    </w:p>
  </w:footnote>
  <w:footnote w:id="1">
    <w:p w14:paraId="7026E700" w14:textId="77777777" w:rsidR="004F6162" w:rsidRPr="004F6162" w:rsidRDefault="004F6162" w:rsidP="004F6162">
      <w:pPr>
        <w:pStyle w:val="FootnoteText"/>
        <w:spacing w:line="480" w:lineRule="auto"/>
        <w:rPr>
          <w:rFonts w:ascii="Palatino Linotype" w:hAnsi="Palatino Linotype" w:cs="Times New Roman"/>
          <w:sz w:val="20"/>
          <w:szCs w:val="20"/>
        </w:rPr>
      </w:pPr>
      <w:r w:rsidRPr="004F6162">
        <w:rPr>
          <w:rStyle w:val="FootnoteReference"/>
          <w:rFonts w:ascii="Palatino Linotype" w:hAnsi="Palatino Linotype" w:cs="Times New Roman"/>
          <w:sz w:val="20"/>
          <w:szCs w:val="20"/>
        </w:rPr>
        <w:footnoteRef/>
      </w:r>
      <w:r w:rsidRPr="004F6162">
        <w:rPr>
          <w:rFonts w:ascii="Palatino Linotype" w:hAnsi="Palatino Linotype" w:cs="Times New Roman"/>
          <w:sz w:val="20"/>
          <w:szCs w:val="20"/>
        </w:rPr>
        <w:t xml:space="preserve"> </w:t>
      </w:r>
      <w:r w:rsidRPr="004F6162">
        <w:rPr>
          <w:rFonts w:ascii="Palatino Linotype" w:hAnsi="Palatino Linotype" w:cs="Times New Roman"/>
          <w:sz w:val="20"/>
          <w:szCs w:val="20"/>
        </w:rPr>
        <w:t xml:space="preserve">Related works such as </w:t>
      </w:r>
      <w:r w:rsidRPr="004F6162">
        <w:rPr>
          <w:rFonts w:ascii="Palatino Linotype" w:hAnsi="Palatino Linotype" w:cs="Times New Roman"/>
          <w:i/>
          <w:sz w:val="20"/>
          <w:szCs w:val="20"/>
        </w:rPr>
        <w:t>Touch</w:t>
      </w:r>
      <w:r w:rsidRPr="004F6162">
        <w:rPr>
          <w:rFonts w:ascii="Palatino Linotype" w:hAnsi="Palatino Linotype" w:cs="Times New Roman"/>
          <w:sz w:val="20"/>
          <w:szCs w:val="20"/>
        </w:rPr>
        <w:t xml:space="preserve"> and </w:t>
      </w:r>
      <w:r w:rsidRPr="004F6162">
        <w:rPr>
          <w:rFonts w:ascii="Palatino Linotype" w:hAnsi="Palatino Linotype" w:cs="Times New Roman"/>
          <w:i/>
          <w:sz w:val="20"/>
          <w:szCs w:val="20"/>
        </w:rPr>
        <w:t>Triangles</w:t>
      </w:r>
      <w:r w:rsidRPr="004F6162">
        <w:rPr>
          <w:rFonts w:ascii="Palatino Linotype" w:hAnsi="Palatino Linotype" w:cs="Times New Roman"/>
          <w:sz w:val="20"/>
          <w:szCs w:val="20"/>
        </w:rPr>
        <w:t>, which were made of the material that remained after the circles were cut, also took place that year.</w:t>
      </w:r>
      <w:r w:rsidRPr="004F6162">
        <w:rPr>
          <w:rFonts w:ascii="Palatino Linotype" w:hAnsi="Palatino Linotype" w:cs="Times New Roman"/>
        </w:rPr>
        <w:t xml:space="preserve"> </w:t>
      </w:r>
      <w:r w:rsidRPr="004F6162">
        <w:rPr>
          <w:rFonts w:ascii="Palatino Linotype" w:hAnsi="Palatino Linotype" w:cs="Times New Roman"/>
          <w:sz w:val="20"/>
          <w:szCs w:val="20"/>
        </w:rPr>
        <w:t xml:space="preserve">All of these works are reproduced in Rasheed Araeen, </w:t>
      </w:r>
      <w:r w:rsidRPr="004F6162">
        <w:rPr>
          <w:rFonts w:ascii="Palatino Linotype" w:hAnsi="Palatino Linotype" w:cs="Times New Roman"/>
          <w:i/>
          <w:sz w:val="20"/>
          <w:szCs w:val="20"/>
        </w:rPr>
        <w:t>Making Myself Visible</w:t>
      </w:r>
      <w:r w:rsidRPr="004F6162">
        <w:rPr>
          <w:rFonts w:ascii="Palatino Linotype" w:hAnsi="Palatino Linotype" w:cs="Times New Roman"/>
          <w:sz w:val="20"/>
          <w:szCs w:val="20"/>
        </w:rPr>
        <w:t xml:space="preserve"> (London: Kala Press, 1984), 43–47, 49, and 51–54. In general, I have followed </w:t>
      </w:r>
      <w:r w:rsidRPr="004F6162">
        <w:rPr>
          <w:rFonts w:ascii="Palatino Linotype" w:hAnsi="Palatino Linotype" w:cs="Times New Roman"/>
          <w:i/>
          <w:sz w:val="20"/>
          <w:szCs w:val="20"/>
        </w:rPr>
        <w:t>Making Myself Visible</w:t>
      </w:r>
      <w:r w:rsidRPr="004F6162">
        <w:rPr>
          <w:rFonts w:ascii="Palatino Linotype" w:hAnsi="Palatino Linotype" w:cs="Times New Roman"/>
          <w:sz w:val="20"/>
          <w:szCs w:val="20"/>
        </w:rPr>
        <w:t xml:space="preserve"> for titles of works.</w:t>
      </w:r>
    </w:p>
  </w:footnote>
  <w:footnote w:id="2">
    <w:p w14:paraId="1F78D720" w14:textId="77777777" w:rsidR="004F6162" w:rsidRPr="004F6162" w:rsidRDefault="004F6162" w:rsidP="004F6162">
      <w:pPr>
        <w:pStyle w:val="FootnoteText"/>
        <w:spacing w:line="480" w:lineRule="auto"/>
        <w:rPr>
          <w:rFonts w:ascii="Palatino Linotype" w:hAnsi="Palatino Linotype" w:cs="Times New Roman"/>
          <w:sz w:val="20"/>
          <w:szCs w:val="20"/>
        </w:rPr>
      </w:pPr>
      <w:r w:rsidRPr="004F6162">
        <w:rPr>
          <w:rStyle w:val="FootnoteReference"/>
          <w:rFonts w:ascii="Palatino Linotype" w:hAnsi="Palatino Linotype" w:cs="Times New Roman"/>
          <w:sz w:val="20"/>
          <w:szCs w:val="20"/>
        </w:rPr>
        <w:footnoteRef/>
      </w:r>
      <w:r w:rsidRPr="004F6162">
        <w:rPr>
          <w:rFonts w:ascii="Palatino Linotype" w:hAnsi="Palatino Linotype" w:cs="Times New Roman"/>
          <w:sz w:val="20"/>
          <w:szCs w:val="20"/>
        </w:rPr>
        <w:t xml:space="preserve"> Rasheed Araeen archive, Grosvenor Gallery, London. I would like to thank Conor Macklin from the gallery for facilitating access to these slides. </w:t>
      </w:r>
    </w:p>
  </w:footnote>
  <w:footnote w:id="3">
    <w:p w14:paraId="79E19E4B" w14:textId="77777777" w:rsidR="004F6162" w:rsidRPr="004F6162" w:rsidRDefault="004F6162" w:rsidP="004F6162">
      <w:pPr>
        <w:pStyle w:val="FootnoteText"/>
        <w:spacing w:line="480" w:lineRule="auto"/>
        <w:rPr>
          <w:rFonts w:ascii="Palatino Linotype" w:hAnsi="Palatino Linotype" w:cs="Times New Roman"/>
          <w:sz w:val="20"/>
          <w:szCs w:val="20"/>
        </w:rPr>
      </w:pPr>
      <w:r w:rsidRPr="004F6162">
        <w:rPr>
          <w:rStyle w:val="FootnoteReference"/>
          <w:rFonts w:ascii="Palatino Linotype" w:hAnsi="Palatino Linotype" w:cs="Times New Roman"/>
          <w:sz w:val="20"/>
          <w:szCs w:val="20"/>
        </w:rPr>
        <w:footnoteRef/>
      </w:r>
      <w:r w:rsidRPr="004F6162">
        <w:rPr>
          <w:rFonts w:ascii="Palatino Linotype" w:hAnsi="Palatino Linotype" w:cs="Times New Roman"/>
          <w:sz w:val="20"/>
          <w:szCs w:val="20"/>
        </w:rPr>
        <w:t xml:space="preserve"> Statement made by Rasheed Araeen in Karachi, 11 April 1974. Araeen, </w:t>
      </w:r>
      <w:r w:rsidRPr="004F6162">
        <w:rPr>
          <w:rFonts w:ascii="Palatino Linotype" w:hAnsi="Palatino Linotype" w:cs="Times New Roman"/>
          <w:i/>
          <w:sz w:val="20"/>
          <w:szCs w:val="20"/>
        </w:rPr>
        <w:t>Making Myself Visible</w:t>
      </w:r>
      <w:r w:rsidRPr="004F6162">
        <w:rPr>
          <w:rFonts w:ascii="Palatino Linotype" w:hAnsi="Palatino Linotype" w:cs="Times New Roman"/>
          <w:sz w:val="20"/>
          <w:szCs w:val="20"/>
        </w:rPr>
        <w:t>, 64–65.</w:t>
      </w:r>
    </w:p>
  </w:footnote>
  <w:footnote w:id="4">
    <w:p w14:paraId="5F82A1E0" w14:textId="77777777" w:rsidR="004F6162" w:rsidRPr="004F6162" w:rsidRDefault="004F6162" w:rsidP="004F6162">
      <w:pPr>
        <w:pStyle w:val="FootnoteText"/>
        <w:spacing w:line="480" w:lineRule="auto"/>
        <w:rPr>
          <w:rFonts w:ascii="Palatino Linotype" w:hAnsi="Palatino Linotype" w:cs="Times New Roman"/>
          <w:sz w:val="20"/>
          <w:szCs w:val="20"/>
        </w:rPr>
      </w:pPr>
      <w:r w:rsidRPr="004F6162">
        <w:rPr>
          <w:rStyle w:val="FootnoteReference"/>
          <w:rFonts w:ascii="Palatino Linotype" w:hAnsi="Palatino Linotype" w:cs="Times New Roman"/>
          <w:sz w:val="20"/>
          <w:szCs w:val="20"/>
        </w:rPr>
        <w:footnoteRef/>
      </w:r>
      <w:r w:rsidRPr="004F6162">
        <w:rPr>
          <w:rFonts w:ascii="Palatino Linotype" w:hAnsi="Palatino Linotype" w:cs="Times New Roman"/>
          <w:sz w:val="20"/>
          <w:szCs w:val="20"/>
        </w:rPr>
        <w:t xml:space="preserve"> Daniel Buren, ‘Beware’, in Buren, </w:t>
      </w:r>
      <w:r w:rsidRPr="004F6162">
        <w:rPr>
          <w:rFonts w:ascii="Palatino Linotype" w:hAnsi="Palatino Linotype" w:cs="Times New Roman"/>
          <w:i/>
          <w:sz w:val="20"/>
          <w:szCs w:val="20"/>
        </w:rPr>
        <w:t>Five Texts</w:t>
      </w:r>
      <w:r w:rsidRPr="004F6162">
        <w:rPr>
          <w:rFonts w:ascii="Palatino Linotype" w:hAnsi="Palatino Linotype" w:cs="Times New Roman"/>
          <w:sz w:val="20"/>
          <w:szCs w:val="20"/>
        </w:rPr>
        <w:t xml:space="preserve"> (London and New York: Jack Wendler Gallery and John Weber Gallery, 1973), 14; the phrase ‘zero degree’ was one that Buren appropriated from Roland Barthes.</w:t>
      </w:r>
    </w:p>
  </w:footnote>
  <w:footnote w:id="5">
    <w:p w14:paraId="3188E751" w14:textId="77777777" w:rsidR="004F6162" w:rsidRPr="004F6162" w:rsidRDefault="004F6162" w:rsidP="004F6162">
      <w:pPr>
        <w:pStyle w:val="FootnoteText"/>
        <w:spacing w:line="480" w:lineRule="auto"/>
        <w:rPr>
          <w:rFonts w:ascii="Palatino Linotype" w:hAnsi="Palatino Linotype" w:cs="Times New Roman"/>
          <w:sz w:val="20"/>
          <w:szCs w:val="20"/>
        </w:rPr>
      </w:pPr>
      <w:r w:rsidRPr="004F6162">
        <w:rPr>
          <w:rStyle w:val="FootnoteReference"/>
          <w:rFonts w:ascii="Palatino Linotype" w:hAnsi="Palatino Linotype" w:cs="Times New Roman"/>
          <w:sz w:val="20"/>
          <w:szCs w:val="20"/>
        </w:rPr>
        <w:footnoteRef/>
      </w:r>
      <w:r w:rsidRPr="004F6162">
        <w:rPr>
          <w:rFonts w:ascii="Palatino Linotype" w:hAnsi="Palatino Linotype" w:cs="Times New Roman"/>
          <w:sz w:val="20"/>
          <w:szCs w:val="20"/>
        </w:rPr>
        <w:t xml:space="preserve"> See Patricia Bickers, ‘From Object to Subject’ (1987) and Jean Fisher, ‘An Art of Transformation’ (1993), in ed. Jean Fisher, </w:t>
      </w:r>
      <w:r w:rsidRPr="004F6162">
        <w:rPr>
          <w:rFonts w:ascii="Palatino Linotype" w:hAnsi="Palatino Linotype" w:cs="Times New Roman"/>
          <w:i/>
          <w:sz w:val="20"/>
          <w:szCs w:val="20"/>
        </w:rPr>
        <w:t>The Triumph of Icarus: Life and Art of Rasheed Araeen</w:t>
      </w:r>
      <w:r w:rsidRPr="004F6162">
        <w:rPr>
          <w:rFonts w:ascii="Palatino Linotype" w:hAnsi="Palatino Linotype" w:cs="Times New Roman"/>
          <w:sz w:val="20"/>
          <w:szCs w:val="20"/>
        </w:rPr>
        <w:t xml:space="preserve"> (Karachi: Millennium Media, 2014), 20 and 107.</w:t>
      </w:r>
    </w:p>
  </w:footnote>
  <w:footnote w:id="6">
    <w:p w14:paraId="6C1ED934" w14:textId="77777777" w:rsidR="004F6162" w:rsidRPr="004F6162" w:rsidRDefault="004F6162" w:rsidP="004F6162">
      <w:pPr>
        <w:pStyle w:val="FootnoteText"/>
        <w:spacing w:line="480" w:lineRule="auto"/>
        <w:rPr>
          <w:rFonts w:ascii="Palatino Linotype" w:hAnsi="Palatino Linotype" w:cs="Times New Roman"/>
          <w:sz w:val="20"/>
          <w:szCs w:val="20"/>
        </w:rPr>
      </w:pPr>
      <w:r w:rsidRPr="004F6162">
        <w:rPr>
          <w:rStyle w:val="FootnoteReference"/>
          <w:rFonts w:ascii="Palatino Linotype" w:hAnsi="Palatino Linotype" w:cs="Times New Roman"/>
          <w:sz w:val="20"/>
          <w:szCs w:val="20"/>
        </w:rPr>
        <w:footnoteRef/>
      </w:r>
      <w:r w:rsidRPr="004F6162">
        <w:rPr>
          <w:rFonts w:ascii="Palatino Linotype" w:hAnsi="Palatino Linotype" w:cs="Times New Roman"/>
          <w:sz w:val="20"/>
          <w:szCs w:val="20"/>
        </w:rPr>
        <w:t xml:space="preserve"> See Rasheed Araeen, </w:t>
      </w:r>
      <w:r w:rsidRPr="004F6162">
        <w:rPr>
          <w:rFonts w:ascii="Palatino Linotype" w:hAnsi="Palatino Linotype" w:cs="Times New Roman"/>
          <w:i/>
          <w:sz w:val="20"/>
          <w:szCs w:val="20"/>
        </w:rPr>
        <w:t>Art Beyond Art: Ecoaeshetics: A Manifesto for the 21st Century</w:t>
      </w:r>
      <w:r w:rsidRPr="004F6162">
        <w:rPr>
          <w:rFonts w:ascii="Palatino Linotype" w:hAnsi="Palatino Linotype" w:cs="Times New Roman"/>
          <w:sz w:val="20"/>
          <w:szCs w:val="20"/>
        </w:rPr>
        <w:t xml:space="preserve"> (London: Third Text Publications, 2010), 45. In Araeen, </w:t>
      </w:r>
      <w:r w:rsidRPr="004F6162">
        <w:rPr>
          <w:rFonts w:ascii="Palatino Linotype" w:hAnsi="Palatino Linotype" w:cs="Times New Roman"/>
          <w:i/>
          <w:sz w:val="20"/>
          <w:szCs w:val="20"/>
        </w:rPr>
        <w:t>Making Myself Visible</w:t>
      </w:r>
      <w:r w:rsidRPr="004F6162">
        <w:rPr>
          <w:rFonts w:ascii="Palatino Linotype" w:hAnsi="Palatino Linotype" w:cs="Times New Roman"/>
          <w:sz w:val="20"/>
          <w:szCs w:val="20"/>
        </w:rPr>
        <w:t xml:space="preserve">, 175 the title is given as </w:t>
      </w:r>
      <w:r w:rsidRPr="004F6162">
        <w:rPr>
          <w:rFonts w:ascii="Palatino Linotype" w:hAnsi="Palatino Linotype" w:cs="Times New Roman"/>
          <w:i/>
          <w:sz w:val="20"/>
          <w:szCs w:val="20"/>
        </w:rPr>
        <w:t>Spatiostructural Play</w:t>
      </w:r>
      <w:r w:rsidRPr="004F6162">
        <w:rPr>
          <w:rFonts w:ascii="Palatino Linotype" w:hAnsi="Palatino Linotype" w:cs="Times New Roman"/>
          <w:sz w:val="20"/>
          <w:szCs w:val="20"/>
        </w:rPr>
        <w:t xml:space="preserve">, but Araeen has confirmed that it was originally </w:t>
      </w:r>
      <w:r w:rsidRPr="004F6162">
        <w:rPr>
          <w:rFonts w:ascii="Palatino Linotype" w:hAnsi="Palatino Linotype" w:cs="Times New Roman"/>
          <w:i/>
          <w:sz w:val="20"/>
          <w:szCs w:val="20"/>
        </w:rPr>
        <w:t>Bio-structural Play</w:t>
      </w:r>
      <w:r w:rsidRPr="004F6162">
        <w:rPr>
          <w:rFonts w:ascii="Palatino Linotype" w:hAnsi="Palatino Linotype" w:cs="Times New Roman"/>
          <w:sz w:val="20"/>
          <w:szCs w:val="20"/>
        </w:rPr>
        <w:t xml:space="preserve">. </w:t>
      </w:r>
    </w:p>
  </w:footnote>
  <w:footnote w:id="7">
    <w:p w14:paraId="767F845E" w14:textId="77777777" w:rsidR="004F6162" w:rsidRPr="004F6162" w:rsidRDefault="004F6162" w:rsidP="004F6162">
      <w:pPr>
        <w:pStyle w:val="FootnoteText"/>
        <w:spacing w:line="480" w:lineRule="auto"/>
        <w:rPr>
          <w:rFonts w:ascii="Palatino Linotype" w:hAnsi="Palatino Linotype" w:cs="Times New Roman"/>
          <w:sz w:val="20"/>
          <w:szCs w:val="20"/>
        </w:rPr>
      </w:pPr>
      <w:r w:rsidRPr="004F6162">
        <w:rPr>
          <w:rStyle w:val="FootnoteReference"/>
          <w:rFonts w:ascii="Palatino Linotype" w:hAnsi="Palatino Linotype" w:cs="Times New Roman"/>
          <w:sz w:val="20"/>
          <w:szCs w:val="20"/>
        </w:rPr>
        <w:footnoteRef/>
      </w:r>
      <w:r w:rsidRPr="004F6162">
        <w:rPr>
          <w:rFonts w:ascii="Palatino Linotype" w:hAnsi="Palatino Linotype" w:cs="Times New Roman"/>
          <w:sz w:val="20"/>
          <w:szCs w:val="20"/>
        </w:rPr>
        <w:t xml:space="preserve"> Jacques Derrida, ‘Structure, Sign and Play in the Discourse of the Human Sciences’, </w:t>
      </w:r>
      <w:r w:rsidRPr="004F6162">
        <w:rPr>
          <w:rFonts w:ascii="Palatino Linotype" w:hAnsi="Palatino Linotype" w:cs="Times New Roman"/>
          <w:i/>
          <w:sz w:val="20"/>
          <w:szCs w:val="20"/>
        </w:rPr>
        <w:t>Writing and Difference</w:t>
      </w:r>
      <w:r w:rsidRPr="004F6162">
        <w:rPr>
          <w:rFonts w:ascii="Palatino Linotype" w:hAnsi="Palatino Linotype" w:cs="Times New Roman"/>
          <w:sz w:val="20"/>
          <w:szCs w:val="20"/>
        </w:rPr>
        <w:t xml:space="preserve"> (London: Routledge, 2001), 365; Gilles Deleuze, ‘How Do We Recognize Structuralism?’, </w:t>
      </w:r>
      <w:r w:rsidRPr="004F6162">
        <w:rPr>
          <w:rFonts w:ascii="Palatino Linotype" w:hAnsi="Palatino Linotype" w:cs="Times New Roman"/>
          <w:i/>
          <w:sz w:val="20"/>
          <w:szCs w:val="20"/>
        </w:rPr>
        <w:t>Desert Islands and Other Texts, 1953–1974</w:t>
      </w:r>
      <w:r w:rsidRPr="004F6162">
        <w:rPr>
          <w:rFonts w:ascii="Palatino Linotype" w:hAnsi="Palatino Linotype" w:cs="Times New Roman"/>
          <w:sz w:val="20"/>
          <w:szCs w:val="20"/>
        </w:rPr>
        <w:t xml:space="preserve"> (Los Angeles and New York: Semiotext(e), 2004), 184.</w:t>
      </w:r>
    </w:p>
  </w:footnote>
  <w:footnote w:id="8">
    <w:p w14:paraId="1505FA52" w14:textId="77777777" w:rsidR="004F6162" w:rsidRPr="004F6162" w:rsidRDefault="004F6162" w:rsidP="004F6162">
      <w:pPr>
        <w:pStyle w:val="FootnoteText"/>
        <w:spacing w:line="480" w:lineRule="auto"/>
        <w:rPr>
          <w:rFonts w:ascii="Palatino Linotype" w:hAnsi="Palatino Linotype" w:cs="Times New Roman"/>
          <w:sz w:val="20"/>
          <w:szCs w:val="20"/>
        </w:rPr>
      </w:pPr>
      <w:r w:rsidRPr="004F6162">
        <w:rPr>
          <w:rStyle w:val="FootnoteReference"/>
          <w:rFonts w:ascii="Palatino Linotype" w:hAnsi="Palatino Linotype" w:cs="Times New Roman"/>
          <w:sz w:val="20"/>
          <w:szCs w:val="20"/>
        </w:rPr>
        <w:footnoteRef/>
      </w:r>
      <w:r w:rsidRPr="004F6162">
        <w:rPr>
          <w:rFonts w:ascii="Palatino Linotype" w:hAnsi="Palatino Linotype" w:cs="Times New Roman"/>
          <w:sz w:val="20"/>
          <w:szCs w:val="20"/>
        </w:rPr>
        <w:t xml:space="preserve"> Frank Popper, </w:t>
      </w:r>
      <w:r w:rsidRPr="004F6162">
        <w:rPr>
          <w:rFonts w:ascii="Palatino Linotype" w:hAnsi="Palatino Linotype" w:cs="Times New Roman"/>
          <w:i/>
          <w:sz w:val="20"/>
          <w:szCs w:val="20"/>
        </w:rPr>
        <w:t>Art – Action and Participation</w:t>
      </w:r>
      <w:r w:rsidRPr="004F6162">
        <w:rPr>
          <w:rFonts w:ascii="Palatino Linotype" w:hAnsi="Palatino Linotype" w:cs="Times New Roman"/>
          <w:sz w:val="20"/>
          <w:szCs w:val="20"/>
        </w:rPr>
        <w:t xml:space="preserve"> (London: Studio Vista, 1975), 180 and 189.</w:t>
      </w:r>
    </w:p>
  </w:footnote>
  <w:footnote w:id="9">
    <w:p w14:paraId="2160CC1F" w14:textId="77777777" w:rsidR="004F6162" w:rsidRPr="004F6162" w:rsidRDefault="004F6162" w:rsidP="004F6162">
      <w:pPr>
        <w:pStyle w:val="FootnoteText"/>
        <w:spacing w:line="480" w:lineRule="auto"/>
        <w:rPr>
          <w:rFonts w:ascii="Palatino Linotype" w:hAnsi="Palatino Linotype" w:cs="Times New Roman"/>
          <w:sz w:val="20"/>
          <w:szCs w:val="20"/>
        </w:rPr>
      </w:pPr>
      <w:r w:rsidRPr="004F6162">
        <w:rPr>
          <w:rStyle w:val="FootnoteReference"/>
          <w:rFonts w:ascii="Palatino Linotype" w:hAnsi="Palatino Linotype" w:cs="Times New Roman"/>
          <w:sz w:val="20"/>
          <w:szCs w:val="20"/>
        </w:rPr>
        <w:footnoteRef/>
      </w:r>
      <w:r w:rsidRPr="004F6162">
        <w:rPr>
          <w:rFonts w:ascii="Palatino Linotype" w:hAnsi="Palatino Linotype" w:cs="Times New Roman"/>
          <w:sz w:val="20"/>
          <w:szCs w:val="20"/>
        </w:rPr>
        <w:t xml:space="preserve"> Hilary Floe, ‘“Everything Was Getting Smashed”: Three Case Studies of Play and Participation, 1965–71’, </w:t>
      </w:r>
      <w:r w:rsidRPr="004F6162">
        <w:rPr>
          <w:rFonts w:ascii="Palatino Linotype" w:hAnsi="Palatino Linotype" w:cs="Times New Roman"/>
          <w:i/>
          <w:iCs/>
          <w:sz w:val="20"/>
          <w:szCs w:val="20"/>
        </w:rPr>
        <w:t>Tate Papers</w:t>
      </w:r>
      <w:r w:rsidRPr="004F6162">
        <w:rPr>
          <w:rFonts w:ascii="Palatino Linotype" w:hAnsi="Palatino Linotype" w:cs="Times New Roman"/>
          <w:sz w:val="20"/>
          <w:szCs w:val="20"/>
        </w:rPr>
        <w:t>, no. 22 (Autumn 2014), www.tate.org.uk/research/publications/tate-papers/22/everything-was- getting-smashed-three-case-studies-of-play-and-participation-1965-71.</w:t>
      </w:r>
    </w:p>
  </w:footnote>
  <w:footnote w:id="10">
    <w:p w14:paraId="19837ACF" w14:textId="77777777" w:rsidR="004F6162" w:rsidRPr="004F6162" w:rsidRDefault="004F6162" w:rsidP="004F6162">
      <w:pPr>
        <w:pStyle w:val="FootnoteText"/>
        <w:spacing w:line="480" w:lineRule="auto"/>
        <w:rPr>
          <w:rFonts w:ascii="Palatino Linotype" w:hAnsi="Palatino Linotype" w:cs="Times New Roman"/>
          <w:sz w:val="20"/>
          <w:szCs w:val="20"/>
        </w:rPr>
      </w:pPr>
      <w:r w:rsidRPr="004F6162">
        <w:rPr>
          <w:rStyle w:val="FootnoteReference"/>
          <w:rFonts w:ascii="Palatino Linotype" w:hAnsi="Palatino Linotype" w:cs="Times New Roman"/>
          <w:sz w:val="20"/>
          <w:szCs w:val="20"/>
        </w:rPr>
        <w:footnoteRef/>
      </w:r>
      <w:r w:rsidRPr="004F6162">
        <w:rPr>
          <w:rFonts w:ascii="Palatino Linotype" w:hAnsi="Palatino Linotype" w:cs="Times New Roman"/>
          <w:sz w:val="20"/>
          <w:szCs w:val="20"/>
        </w:rPr>
        <w:t xml:space="preserve"> On Schiller and the ‘“original scene” of aesthetics’, see Jacques Rancière, ‘The Aesthetic Revolution and its Outcomes: Emplotments of Autonomy and Heteronomy’, </w:t>
      </w:r>
      <w:r w:rsidRPr="004F6162">
        <w:rPr>
          <w:rFonts w:ascii="Palatino Linotype" w:hAnsi="Palatino Linotype" w:cs="Times New Roman"/>
          <w:i/>
          <w:sz w:val="20"/>
          <w:szCs w:val="20"/>
        </w:rPr>
        <w:t>New Left Review</w:t>
      </w:r>
      <w:r w:rsidRPr="004F6162">
        <w:rPr>
          <w:rFonts w:ascii="Palatino Linotype" w:hAnsi="Palatino Linotype" w:cs="Times New Roman"/>
          <w:sz w:val="20"/>
          <w:szCs w:val="20"/>
        </w:rPr>
        <w:t xml:space="preserve"> 14 (March – April 2002):133–151.</w:t>
      </w:r>
    </w:p>
  </w:footnote>
  <w:footnote w:id="11">
    <w:p w14:paraId="640B1DDB" w14:textId="77777777" w:rsidR="004F6162" w:rsidRPr="004F6162" w:rsidRDefault="004F6162" w:rsidP="004F6162">
      <w:pPr>
        <w:pStyle w:val="FootnoteText"/>
        <w:spacing w:line="480" w:lineRule="auto"/>
        <w:rPr>
          <w:rFonts w:ascii="Palatino Linotype" w:hAnsi="Palatino Linotype" w:cs="Times New Roman"/>
          <w:sz w:val="20"/>
          <w:szCs w:val="20"/>
        </w:rPr>
      </w:pPr>
      <w:r w:rsidRPr="004F6162">
        <w:rPr>
          <w:rStyle w:val="FootnoteReference"/>
          <w:rFonts w:ascii="Palatino Linotype" w:hAnsi="Palatino Linotype" w:cs="Times New Roman"/>
          <w:sz w:val="20"/>
          <w:szCs w:val="20"/>
        </w:rPr>
        <w:footnoteRef/>
      </w:r>
      <w:r w:rsidRPr="004F6162">
        <w:rPr>
          <w:rFonts w:ascii="Palatino Linotype" w:hAnsi="Palatino Linotype" w:cs="Times New Roman"/>
          <w:sz w:val="20"/>
          <w:szCs w:val="20"/>
        </w:rPr>
        <w:t xml:space="preserve"> Popper, </w:t>
      </w:r>
      <w:r w:rsidRPr="004F6162">
        <w:rPr>
          <w:rFonts w:ascii="Palatino Linotype" w:hAnsi="Palatino Linotype" w:cs="Times New Roman"/>
          <w:i/>
          <w:sz w:val="20"/>
          <w:szCs w:val="20"/>
        </w:rPr>
        <w:t>Art – Action and Participation</w:t>
      </w:r>
      <w:r w:rsidRPr="004F6162">
        <w:rPr>
          <w:rFonts w:ascii="Palatino Linotype" w:hAnsi="Palatino Linotype" w:cs="Times New Roman"/>
          <w:sz w:val="20"/>
          <w:szCs w:val="20"/>
        </w:rPr>
        <w:t>, 192.</w:t>
      </w:r>
    </w:p>
  </w:footnote>
  <w:footnote w:id="12">
    <w:p w14:paraId="19853F6A" w14:textId="77777777" w:rsidR="004F6162" w:rsidRPr="004F6162" w:rsidRDefault="004F6162" w:rsidP="004F6162">
      <w:pPr>
        <w:pStyle w:val="FootnoteText"/>
        <w:spacing w:line="480" w:lineRule="auto"/>
        <w:rPr>
          <w:rFonts w:ascii="Palatino Linotype" w:hAnsi="Palatino Linotype" w:cs="Times New Roman"/>
          <w:sz w:val="20"/>
          <w:szCs w:val="20"/>
        </w:rPr>
      </w:pPr>
      <w:r w:rsidRPr="004F6162">
        <w:rPr>
          <w:rStyle w:val="FootnoteReference"/>
          <w:rFonts w:ascii="Palatino Linotype" w:hAnsi="Palatino Linotype" w:cs="Times New Roman"/>
          <w:sz w:val="20"/>
          <w:szCs w:val="20"/>
        </w:rPr>
        <w:footnoteRef/>
      </w:r>
      <w:r w:rsidRPr="004F6162">
        <w:rPr>
          <w:rFonts w:ascii="Palatino Linotype" w:hAnsi="Palatino Linotype" w:cs="Times New Roman"/>
          <w:sz w:val="20"/>
          <w:szCs w:val="20"/>
        </w:rPr>
        <w:t xml:space="preserve"> See the description of this project in Araeen, </w:t>
      </w:r>
      <w:r w:rsidRPr="004F6162">
        <w:rPr>
          <w:rFonts w:ascii="Palatino Linotype" w:hAnsi="Palatino Linotype" w:cs="Times New Roman"/>
          <w:i/>
          <w:sz w:val="20"/>
          <w:szCs w:val="20"/>
        </w:rPr>
        <w:t>Making Myself Visible</w:t>
      </w:r>
      <w:r w:rsidRPr="004F6162">
        <w:rPr>
          <w:rFonts w:ascii="Palatino Linotype" w:hAnsi="Palatino Linotype" w:cs="Times New Roman"/>
          <w:sz w:val="20"/>
          <w:szCs w:val="20"/>
        </w:rPr>
        <w:t xml:space="preserve">, 175 and the account in Araeen, </w:t>
      </w:r>
      <w:r w:rsidRPr="004F6162">
        <w:rPr>
          <w:rFonts w:ascii="Palatino Linotype" w:hAnsi="Palatino Linotype" w:cs="Times New Roman"/>
          <w:i/>
          <w:sz w:val="20"/>
          <w:szCs w:val="20"/>
        </w:rPr>
        <w:t>Art Beyond Art</w:t>
      </w:r>
      <w:r w:rsidRPr="004F6162">
        <w:rPr>
          <w:rFonts w:ascii="Palatino Linotype" w:hAnsi="Palatino Linotype" w:cs="Times New Roman"/>
          <w:sz w:val="20"/>
          <w:szCs w:val="20"/>
        </w:rPr>
        <w:t>, 51–54.</w:t>
      </w:r>
    </w:p>
  </w:footnote>
  <w:footnote w:id="13">
    <w:p w14:paraId="27DE8BB8" w14:textId="77777777" w:rsidR="004F6162" w:rsidRPr="004F6162" w:rsidRDefault="004F6162" w:rsidP="004F6162">
      <w:pPr>
        <w:pStyle w:val="FootnoteText"/>
        <w:spacing w:line="480" w:lineRule="auto"/>
        <w:rPr>
          <w:rFonts w:ascii="Palatino Linotype" w:hAnsi="Palatino Linotype" w:cs="Times New Roman"/>
          <w:sz w:val="20"/>
          <w:szCs w:val="20"/>
        </w:rPr>
      </w:pPr>
      <w:r w:rsidRPr="004F6162">
        <w:rPr>
          <w:rStyle w:val="FootnoteReference"/>
          <w:rFonts w:ascii="Palatino Linotype" w:hAnsi="Palatino Linotype" w:cs="Times New Roman"/>
          <w:sz w:val="20"/>
          <w:szCs w:val="20"/>
        </w:rPr>
        <w:footnoteRef/>
      </w:r>
      <w:r w:rsidRPr="004F6162">
        <w:rPr>
          <w:rFonts w:ascii="Palatino Linotype" w:hAnsi="Palatino Linotype" w:cs="Times New Roman"/>
          <w:sz w:val="20"/>
          <w:szCs w:val="20"/>
        </w:rPr>
        <w:t xml:space="preserve"> This distinction concerning the participating subject may also be read in Claire Bishop’s more recent critique of Nicholas Bourriaud’s </w:t>
      </w:r>
      <w:r w:rsidRPr="004F6162">
        <w:rPr>
          <w:rFonts w:ascii="Palatino Linotype" w:hAnsi="Palatino Linotype" w:cs="Times New Roman"/>
          <w:i/>
          <w:sz w:val="20"/>
          <w:szCs w:val="20"/>
        </w:rPr>
        <w:t>Relational Aesthetics</w:t>
      </w:r>
      <w:r w:rsidRPr="004F6162">
        <w:rPr>
          <w:rFonts w:ascii="Palatino Linotype" w:hAnsi="Palatino Linotype" w:cs="Times New Roman"/>
          <w:sz w:val="20"/>
          <w:szCs w:val="20"/>
        </w:rPr>
        <w:t xml:space="preserve">, ‘Antagonism and Relational Aesthetics’, </w:t>
      </w:r>
      <w:r w:rsidRPr="004F6162">
        <w:rPr>
          <w:rFonts w:ascii="Palatino Linotype" w:hAnsi="Palatino Linotype" w:cs="Times New Roman"/>
          <w:i/>
          <w:sz w:val="20"/>
          <w:szCs w:val="20"/>
        </w:rPr>
        <w:t>October</w:t>
      </w:r>
      <w:r w:rsidRPr="004F6162">
        <w:rPr>
          <w:rFonts w:ascii="Palatino Linotype" w:hAnsi="Palatino Linotype" w:cs="Times New Roman"/>
          <w:sz w:val="20"/>
          <w:szCs w:val="20"/>
        </w:rPr>
        <w:t>, no. 110 (fall 2004):51</w:t>
      </w:r>
      <w:r w:rsidRPr="004F6162">
        <w:rPr>
          <w:rFonts w:ascii="Palatino Linotype" w:hAnsi="Palatino Linotype" w:cs="Times New Roman"/>
          <w:sz w:val="20"/>
          <w:szCs w:val="20"/>
        </w:rPr>
        <w:softHyphen/>
        <w:t>–79.</w:t>
      </w:r>
    </w:p>
  </w:footnote>
  <w:footnote w:id="14">
    <w:p w14:paraId="1FA2CCE4" w14:textId="77777777" w:rsidR="004F6162" w:rsidRPr="004F6162" w:rsidRDefault="004F6162" w:rsidP="004F6162">
      <w:pPr>
        <w:spacing w:line="480" w:lineRule="auto"/>
        <w:rPr>
          <w:rFonts w:ascii="Palatino Linotype" w:hAnsi="Palatino Linotype" w:cs="Times New Roman"/>
          <w:sz w:val="20"/>
          <w:szCs w:val="20"/>
        </w:rPr>
      </w:pPr>
      <w:r w:rsidRPr="004F6162">
        <w:rPr>
          <w:rStyle w:val="FootnoteReference"/>
          <w:rFonts w:ascii="Palatino Linotype" w:hAnsi="Palatino Linotype" w:cs="Times New Roman"/>
          <w:sz w:val="20"/>
          <w:szCs w:val="20"/>
        </w:rPr>
        <w:footnoteRef/>
      </w:r>
      <w:r w:rsidRPr="004F6162">
        <w:rPr>
          <w:rFonts w:ascii="Palatino Linotype" w:hAnsi="Palatino Linotype" w:cs="Times New Roman"/>
          <w:sz w:val="20"/>
          <w:szCs w:val="20"/>
        </w:rPr>
        <w:t xml:space="preserve"> See Courtney J. Martin’s interpretation of </w:t>
      </w:r>
      <w:r w:rsidRPr="004F6162">
        <w:rPr>
          <w:rFonts w:ascii="Palatino Linotype" w:hAnsi="Palatino Linotype" w:cs="Times New Roman"/>
          <w:i/>
          <w:sz w:val="20"/>
          <w:szCs w:val="20"/>
        </w:rPr>
        <w:t>Chakras</w:t>
      </w:r>
      <w:r w:rsidRPr="004F6162">
        <w:rPr>
          <w:rFonts w:ascii="Palatino Linotype" w:hAnsi="Palatino Linotype" w:cs="Times New Roman"/>
          <w:sz w:val="20"/>
          <w:szCs w:val="20"/>
        </w:rPr>
        <w:t xml:space="preserve"> for which Araeen’s radicalized work of the mid-1970s and 1980s provides the allegorical pretext: ‘Araeen’s later social justice and political art actions position </w:t>
      </w:r>
      <w:r w:rsidRPr="004F6162">
        <w:rPr>
          <w:rFonts w:ascii="Palatino Linotype" w:hAnsi="Palatino Linotype" w:cs="Times New Roman"/>
          <w:i/>
          <w:sz w:val="20"/>
          <w:szCs w:val="20"/>
        </w:rPr>
        <w:t>Chakras</w:t>
      </w:r>
      <w:r w:rsidRPr="004F6162">
        <w:rPr>
          <w:rFonts w:ascii="Palatino Linotype" w:hAnsi="Palatino Linotype" w:cs="Times New Roman"/>
          <w:sz w:val="20"/>
          <w:szCs w:val="20"/>
        </w:rPr>
        <w:t xml:space="preserve"> as a comment on the ways in which difference (be it class, race, ethnicity, or gender) was an uneasy fit in Britain in the late 1960s. … Floating a symbolic object with bodily connotations drawn from Eastern spiritual traditions (chakras occur in both Hinduism and Buddhism) in water that leads to the open sea is a performance of reclaiming, of liberation from imperialism, and with it, slavery, colonialism, and all it implies.’ Courtney J. Martin, ‘The Studio and the City: S.P.A.C.E. Ltd. and Rasheed Araeen’s </w:t>
      </w:r>
      <w:r w:rsidRPr="004F6162">
        <w:rPr>
          <w:rFonts w:ascii="Palatino Linotype" w:hAnsi="Palatino Linotype" w:cs="Times New Roman"/>
          <w:i/>
          <w:sz w:val="20"/>
          <w:szCs w:val="20"/>
        </w:rPr>
        <w:t>Chakras</w:t>
      </w:r>
      <w:r w:rsidRPr="004F6162">
        <w:rPr>
          <w:rFonts w:ascii="Palatino Linotype" w:hAnsi="Palatino Linotype" w:cs="Times New Roman"/>
          <w:sz w:val="20"/>
          <w:szCs w:val="20"/>
        </w:rPr>
        <w:t xml:space="preserve">’, in ed. Mary Jane Jacob and Michelle Grabner, </w:t>
      </w:r>
      <w:r w:rsidRPr="004F6162">
        <w:rPr>
          <w:rFonts w:ascii="Palatino Linotype" w:hAnsi="Palatino Linotype" w:cs="Times New Roman"/>
          <w:i/>
          <w:iCs/>
          <w:sz w:val="20"/>
          <w:szCs w:val="20"/>
        </w:rPr>
        <w:t>The Studio Reader: On the Space of Artists</w:t>
      </w:r>
      <w:r w:rsidRPr="004F6162">
        <w:rPr>
          <w:rFonts w:ascii="Palatino Linotype" w:hAnsi="Palatino Linotype" w:cs="Times New Roman"/>
          <w:sz w:val="20"/>
          <w:szCs w:val="20"/>
        </w:rPr>
        <w:t xml:space="preserve"> (Chicago and London: University of Chicago Press, 2010), 306–307.</w:t>
      </w:r>
    </w:p>
  </w:footnote>
  <w:footnote w:id="15">
    <w:p w14:paraId="439AFF66" w14:textId="77777777" w:rsidR="004F6162" w:rsidRPr="004F6162" w:rsidRDefault="004F6162" w:rsidP="004F6162">
      <w:pPr>
        <w:pStyle w:val="FootnoteText"/>
        <w:spacing w:line="480" w:lineRule="auto"/>
        <w:rPr>
          <w:rFonts w:ascii="Palatino Linotype" w:hAnsi="Palatino Linotype" w:cs="Times New Roman"/>
          <w:sz w:val="20"/>
          <w:szCs w:val="20"/>
        </w:rPr>
      </w:pPr>
      <w:r w:rsidRPr="004F6162">
        <w:rPr>
          <w:rStyle w:val="FootnoteReference"/>
          <w:rFonts w:ascii="Palatino Linotype" w:hAnsi="Palatino Linotype" w:cs="Times New Roman"/>
          <w:sz w:val="20"/>
          <w:szCs w:val="20"/>
        </w:rPr>
        <w:footnoteRef/>
      </w:r>
      <w:r w:rsidRPr="004F6162">
        <w:rPr>
          <w:rFonts w:ascii="Palatino Linotype" w:hAnsi="Palatino Linotype" w:cs="Times New Roman"/>
          <w:sz w:val="20"/>
          <w:szCs w:val="20"/>
        </w:rPr>
        <w:t xml:space="preserve"> Popper, </w:t>
      </w:r>
      <w:r w:rsidRPr="004F6162">
        <w:rPr>
          <w:rFonts w:ascii="Palatino Linotype" w:hAnsi="Palatino Linotype" w:cs="Times New Roman"/>
          <w:i/>
          <w:sz w:val="20"/>
          <w:szCs w:val="20"/>
        </w:rPr>
        <w:t>Art – Action and Participation</w:t>
      </w:r>
      <w:r w:rsidRPr="004F6162">
        <w:rPr>
          <w:rFonts w:ascii="Palatino Linotype" w:hAnsi="Palatino Linotype" w:cs="Times New Roman"/>
          <w:sz w:val="20"/>
          <w:szCs w:val="20"/>
        </w:rPr>
        <w:t>, 192.</w:t>
      </w:r>
    </w:p>
  </w:footnote>
  <w:footnote w:id="16">
    <w:p w14:paraId="2C44CB37" w14:textId="77777777" w:rsidR="004F6162" w:rsidRPr="004F6162" w:rsidRDefault="004F6162" w:rsidP="004F6162">
      <w:pPr>
        <w:pStyle w:val="FootnoteText"/>
        <w:spacing w:line="480" w:lineRule="auto"/>
        <w:rPr>
          <w:rFonts w:ascii="Palatino Linotype" w:hAnsi="Palatino Linotype" w:cs="Times New Roman"/>
          <w:sz w:val="20"/>
          <w:szCs w:val="20"/>
        </w:rPr>
      </w:pPr>
      <w:r w:rsidRPr="004F6162">
        <w:rPr>
          <w:rStyle w:val="FootnoteReference"/>
          <w:rFonts w:ascii="Palatino Linotype" w:hAnsi="Palatino Linotype" w:cs="Times New Roman"/>
          <w:sz w:val="20"/>
          <w:szCs w:val="20"/>
        </w:rPr>
        <w:footnoteRef/>
      </w:r>
      <w:r w:rsidRPr="004F6162">
        <w:rPr>
          <w:rFonts w:ascii="Palatino Linotype" w:hAnsi="Palatino Linotype" w:cs="Times New Roman"/>
          <w:sz w:val="20"/>
          <w:szCs w:val="20"/>
        </w:rPr>
        <w:t xml:space="preserve"> See Kristin Ross, </w:t>
      </w:r>
      <w:r w:rsidRPr="004F6162">
        <w:rPr>
          <w:rFonts w:ascii="Palatino Linotype" w:hAnsi="Palatino Linotype" w:cs="Times New Roman"/>
          <w:i/>
          <w:sz w:val="20"/>
          <w:szCs w:val="20"/>
        </w:rPr>
        <w:t>May ’68 and Its Afterlives</w:t>
      </w:r>
      <w:r w:rsidRPr="004F6162">
        <w:rPr>
          <w:rFonts w:ascii="Palatino Linotype" w:hAnsi="Palatino Linotype" w:cs="Times New Roman"/>
          <w:sz w:val="20"/>
          <w:szCs w:val="20"/>
        </w:rPr>
        <w:t xml:space="preserve"> (Chicago and London: University of Chicago Press, 2002), 60–64.</w:t>
      </w:r>
    </w:p>
  </w:footnote>
  <w:footnote w:id="17">
    <w:p w14:paraId="6634CAAE" w14:textId="77777777" w:rsidR="004F6162" w:rsidRPr="004F6162" w:rsidRDefault="004F6162" w:rsidP="004F6162">
      <w:pPr>
        <w:pStyle w:val="FootnoteText"/>
        <w:spacing w:line="480" w:lineRule="auto"/>
        <w:rPr>
          <w:rFonts w:ascii="Palatino Linotype" w:hAnsi="Palatino Linotype" w:cs="Times New Roman"/>
          <w:sz w:val="20"/>
          <w:szCs w:val="20"/>
        </w:rPr>
      </w:pPr>
      <w:r w:rsidRPr="004F6162">
        <w:rPr>
          <w:rStyle w:val="FootnoteReference"/>
          <w:rFonts w:ascii="Palatino Linotype" w:hAnsi="Palatino Linotype" w:cs="Times New Roman"/>
          <w:sz w:val="20"/>
          <w:szCs w:val="20"/>
        </w:rPr>
        <w:footnoteRef/>
      </w:r>
      <w:r w:rsidRPr="004F6162">
        <w:rPr>
          <w:rFonts w:ascii="Palatino Linotype" w:hAnsi="Palatino Linotype" w:cs="Times New Roman"/>
          <w:sz w:val="20"/>
          <w:szCs w:val="20"/>
        </w:rPr>
        <w:t xml:space="preserve"> Araeen, </w:t>
      </w:r>
      <w:r w:rsidRPr="004F6162">
        <w:rPr>
          <w:rFonts w:ascii="Palatino Linotype" w:hAnsi="Palatino Linotype" w:cs="Times New Roman"/>
          <w:i/>
          <w:sz w:val="20"/>
          <w:szCs w:val="20"/>
        </w:rPr>
        <w:t>Making Myself Visible</w:t>
      </w:r>
      <w:r w:rsidRPr="004F6162">
        <w:rPr>
          <w:rFonts w:ascii="Palatino Linotype" w:hAnsi="Palatino Linotype" w:cs="Times New Roman"/>
          <w:sz w:val="20"/>
          <w:szCs w:val="20"/>
        </w:rPr>
        <w:t>, 65.</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162"/>
    <w:rsid w:val="000A2FCA"/>
    <w:rsid w:val="004F6162"/>
    <w:rsid w:val="00704FEF"/>
    <w:rsid w:val="007D556F"/>
    <w:rsid w:val="00C006BA"/>
    <w:rsid w:val="00CA6EA1"/>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0027D04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F6162"/>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4F6162"/>
  </w:style>
  <w:style w:type="character" w:customStyle="1" w:styleId="FootnoteTextChar">
    <w:name w:val="Footnote Text Char"/>
    <w:basedOn w:val="DefaultParagraphFont"/>
    <w:link w:val="FootnoteText"/>
    <w:uiPriority w:val="99"/>
    <w:rsid w:val="004F6162"/>
    <w:rPr>
      <w:rFonts w:eastAsiaTheme="minorEastAsia"/>
    </w:rPr>
  </w:style>
  <w:style w:type="character" w:styleId="FootnoteReference">
    <w:name w:val="footnote reference"/>
    <w:basedOn w:val="DefaultParagraphFont"/>
    <w:uiPriority w:val="99"/>
    <w:unhideWhenUsed/>
    <w:rsid w:val="004F6162"/>
    <w:rPr>
      <w:vertAlign w:val="superscript"/>
    </w:rPr>
  </w:style>
  <w:style w:type="paragraph" w:styleId="Footer">
    <w:name w:val="footer"/>
    <w:basedOn w:val="Normal"/>
    <w:link w:val="FooterChar"/>
    <w:uiPriority w:val="99"/>
    <w:unhideWhenUsed/>
    <w:rsid w:val="004F6162"/>
    <w:pPr>
      <w:tabs>
        <w:tab w:val="center" w:pos="4320"/>
        <w:tab w:val="right" w:pos="8640"/>
      </w:tabs>
    </w:pPr>
  </w:style>
  <w:style w:type="character" w:customStyle="1" w:styleId="FooterChar">
    <w:name w:val="Footer Char"/>
    <w:basedOn w:val="DefaultParagraphFont"/>
    <w:link w:val="Footer"/>
    <w:uiPriority w:val="99"/>
    <w:rsid w:val="004F6162"/>
    <w:rPr>
      <w:rFonts w:eastAsiaTheme="minorEastAsia"/>
    </w:rPr>
  </w:style>
  <w:style w:type="character" w:styleId="PageNumber">
    <w:name w:val="page number"/>
    <w:basedOn w:val="DefaultParagraphFont"/>
    <w:uiPriority w:val="99"/>
    <w:semiHidden/>
    <w:unhideWhenUsed/>
    <w:rsid w:val="004F61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11</Pages>
  <Words>2517</Words>
  <Characters>14351</Characters>
  <Application>Microsoft Macintosh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2017-12-20T17:37:00Z</dcterms:created>
  <dcterms:modified xsi:type="dcterms:W3CDTF">2017-12-20T17:54:00Z</dcterms:modified>
</cp:coreProperties>
</file>